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Sibley Tarrant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HASBRO,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1027 NEWPORT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HASBRO,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HAS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0000FF"/>
        </w:rPr>
        <w:t>EVP, CLO and Corp Secretary</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80" w:type="dxa"/>
            <w:vAlign w:val="bottom"/>
            <w:gridSpan w:val="7"/>
          </w:tcPr>
          <w:p>
            <w:pPr>
              <w:jc w:val="center"/>
              <w:ind w:left="36"/>
              <w:spacing w:after="0"/>
              <w:rPr>
                <w:sz w:val="20"/>
                <w:szCs w:val="20"/>
                <w:color w:val="auto"/>
              </w:rPr>
            </w:pPr>
            <w:r>
              <w:rPr>
                <w:rFonts w:ascii="Arial" w:cs="Arial" w:eastAsia="Arial" w:hAnsi="Arial"/>
                <w:sz w:val="13"/>
                <w:szCs w:val="13"/>
                <w:color w:val="auto"/>
                <w:w w:val="98"/>
              </w:rPr>
              <w:t>4. If Amendment, Date of Original Filed (Month/Day/Year)</w:t>
            </w:r>
          </w:p>
        </w:tc>
        <w:tc>
          <w:tcPr>
            <w:tcW w:w="3840" w:type="dxa"/>
            <w:vAlign w:val="bottom"/>
            <w:gridSpan w:val="10"/>
          </w:tcPr>
          <w:p>
            <w:pPr>
              <w:ind w:left="5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PAWTUCKET   RI</w:t>
            </w:r>
          </w:p>
        </w:tc>
        <w:tc>
          <w:tcPr>
            <w:tcW w:w="98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02861</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5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$.50 per share)</w:t>
            </w:r>
          </w:p>
        </w:tc>
        <w:tc>
          <w:tcPr>
            <w:tcW w:w="1040" w:type="dxa"/>
            <w:vAlign w:val="bottom"/>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15,148</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86.66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65,321.97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$.50 per share)</w:t>
            </w:r>
          </w:p>
        </w:tc>
        <w:tc>
          <w:tcPr>
            <w:tcW w:w="104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15,148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104.9766</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50,173.97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4"/>
          </w:tcPr>
          <w:p>
            <w:pPr>
              <w:jc w:val="center"/>
              <w:ind w:right="7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perscript"/>
              </w:rPr>
              <w:t>Common</w:t>
            </w:r>
            <w:r>
              <w:rPr>
                <w:rFonts w:ascii="Times New Roman" w:cs="Times New Roman" w:eastAsia="Times New Roman" w:hAnsi="Times New Roman"/>
                <w:sz w:val="17"/>
                <w:szCs w:val="17"/>
                <w:color w:val="0000FF"/>
              </w:rPr>
              <w:t xml:space="preserve">  15,148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86.66</w:t>
            </w:r>
          </w:p>
        </w:tc>
        <w:tc>
          <w:tcPr>
            <w:tcW w:w="98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02/12/2026</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3"/>
                <w:szCs w:val="13"/>
                <w:color w:val="0000FF"/>
              </w:rPr>
              <w:t>15,148</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02/18/2026</w:t>
            </w: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-2026285</wp:posOffset>
            </wp:positionV>
            <wp:extent cx="29210" cy="2031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13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$104.97 to $105.07, inclusive. The reporting person undertakes to provide to Hasbro, Inc., any security holder of Hasbro, Inc. or the staff of the Securities and Exchange Commission, upon request, full information regarding the number of shares sold at each separate price within the ranges set forth in this footnote (1).</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under an employee stock option plan in accordance with Rule 16b-3 and have tandem tax withholding rights.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 1/3% of the options became exercisable on each of February 19, 2020, February 19, 2021, and February 19,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Matthew Gilman, P/O/A for</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02/13/2026</w:t>
            </w:r>
          </w:p>
        </w:tc>
        <w:tc>
          <w:tcPr>
            <w:tcW w:w="0" w:type="dxa"/>
            <w:vAlign w:val="bottom"/>
          </w:tcPr>
          <w:p>
            <w:pPr>
              <w:spacing w:after="0"/>
              <w:rPr>
                <w:sz w:val="1"/>
                <w:szCs w:val="1"/>
                <w:color w:val="auto"/>
              </w:rPr>
            </w:pPr>
          </w:p>
        </w:tc>
      </w:tr>
      <w:tr>
        <w:trPr>
          <w:trHeight w:val="88"/>
        </w:trPr>
        <w:tc>
          <w:tcPr>
            <w:tcW w:w="11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5"/>
              </w:rPr>
              <w:t>Tarrant L. Sibley</w:t>
            </w:r>
          </w:p>
        </w:tc>
        <w:tc>
          <w:tcPr>
            <w:tcW w:w="74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644" TargetMode="External"/><Relationship Id="rId14" Type="http://schemas.openxmlformats.org/officeDocument/2006/relationships/hyperlink" Target="http://www.sec.gov/cgi-bin/browse-edgar?action=getcompany&amp;CIK=0000046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2026-02-13T16:25:12Z</dcterms:created>
  <dcterms:modified xsi:type="dcterms:W3CDTF">2026-02-13T16:25:12Z</dcterms:modified>
</cp:coreProperties>
</file>