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7"/>
          <w:szCs w:val="17"/>
          <w:color w:val="auto"/>
        </w:rPr>
        <w:t>October 22, 2021</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Hasbro,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(Exact name of registrant as specified in its charter)</w:t>
      </w:r>
    </w:p>
    <w:p>
      <w:pPr>
        <w:spacing w:after="0" w:line="21" w:lineRule="exact"/>
        <w:rPr>
          <w:sz w:val="24"/>
          <w:szCs w:val="24"/>
          <w:color w:val="auto"/>
        </w:rPr>
      </w:pPr>
    </w:p>
    <w:tbl>
      <w:tblPr>
        <w:tblLayout w:type="fixed"/>
        <w:tblInd w:w="380" w:type="dxa"/>
        <w:tblCellMar>
          <w:top w:w="0" w:type="dxa"/>
          <w:left w:w="0" w:type="dxa"/>
          <w:bottom w:w="0" w:type="dxa"/>
          <w:right w:w="0" w:type="dxa"/>
        </w:tblCellMar>
      </w:tblPr>
      <w:tr>
        <w:trPr>
          <w:trHeight w:val="247"/>
        </w:trPr>
        <w:tc>
          <w:tcPr>
            <w:tcW w:w="3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Rhode Island</w:t>
            </w:r>
          </w:p>
        </w:tc>
        <w:tc>
          <w:tcPr>
            <w:tcW w:w="3020" w:type="dxa"/>
            <w:vAlign w:val="bottom"/>
          </w:tcPr>
          <w:p>
            <w:pPr>
              <w:jc w:val="right"/>
              <w:ind w:right="1190"/>
              <w:spacing w:after="0"/>
              <w:rPr>
                <w:sz w:val="20"/>
                <w:szCs w:val="20"/>
                <w:color w:val="auto"/>
              </w:rPr>
            </w:pPr>
            <w:r>
              <w:rPr>
                <w:rFonts w:ascii="Arial" w:cs="Arial" w:eastAsia="Arial" w:hAnsi="Arial"/>
                <w:sz w:val="18"/>
                <w:szCs w:val="18"/>
                <w:color w:val="auto"/>
              </w:rPr>
              <w:t>1-6682</w:t>
            </w:r>
          </w:p>
        </w:tc>
        <w:tc>
          <w:tcPr>
            <w:tcW w:w="3160" w:type="dxa"/>
            <w:vAlign w:val="bottom"/>
          </w:tcPr>
          <w:p>
            <w:pPr>
              <w:jc w:val="right"/>
              <w:ind w:right="770"/>
              <w:spacing w:after="0"/>
              <w:rPr>
                <w:sz w:val="20"/>
                <w:szCs w:val="20"/>
                <w:color w:val="auto"/>
              </w:rPr>
            </w:pPr>
            <w:r>
              <w:rPr>
                <w:rFonts w:ascii="Arial" w:cs="Arial" w:eastAsia="Arial" w:hAnsi="Arial"/>
                <w:sz w:val="18"/>
                <w:szCs w:val="18"/>
                <w:b w:val="1"/>
                <w:bCs w:val="1"/>
                <w:color w:val="auto"/>
              </w:rPr>
              <w:t>05-0155090</w:t>
            </w:r>
          </w:p>
        </w:tc>
        <w:tc>
          <w:tcPr>
            <w:tcW w:w="0" w:type="dxa"/>
            <w:vAlign w:val="bottom"/>
          </w:tcPr>
          <w:p>
            <w:pPr>
              <w:spacing w:after="0"/>
              <w:rPr>
                <w:sz w:val="1"/>
                <w:szCs w:val="1"/>
                <w:color w:val="auto"/>
              </w:rPr>
            </w:pPr>
          </w:p>
        </w:tc>
      </w:tr>
      <w:tr>
        <w:trPr>
          <w:trHeight w:val="176"/>
        </w:trPr>
        <w:tc>
          <w:tcPr>
            <w:tcW w:w="374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3020" w:type="dxa"/>
            <w:vAlign w:val="bottom"/>
            <w:vMerge w:val="restart"/>
          </w:tcPr>
          <w:p>
            <w:pPr>
              <w:jc w:val="center"/>
              <w:spacing w:after="0"/>
              <w:rPr>
                <w:sz w:val="20"/>
                <w:szCs w:val="20"/>
                <w:color w:val="auto"/>
              </w:rPr>
            </w:pPr>
            <w:r>
              <w:rPr>
                <w:rFonts w:ascii="Arial" w:cs="Arial" w:eastAsia="Arial" w:hAnsi="Arial"/>
                <w:sz w:val="18"/>
                <w:szCs w:val="18"/>
                <w:color w:val="auto"/>
                <w:w w:val="93"/>
              </w:rPr>
              <w:t>(Commission File Number)</w:t>
            </w:r>
          </w:p>
        </w:tc>
        <w:tc>
          <w:tcPr>
            <w:tcW w:w="3160" w:type="dxa"/>
            <w:vAlign w:val="bottom"/>
          </w:tcPr>
          <w:p>
            <w:pPr>
              <w:jc w:val="center"/>
              <w:ind w:left="470"/>
              <w:spacing w:after="0" w:line="176" w:lineRule="exact"/>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30"/>
        </w:trPr>
        <w:tc>
          <w:tcPr>
            <w:tcW w:w="374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374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1027 Newport Avenue</w:t>
            </w:r>
          </w:p>
        </w:tc>
        <w:tc>
          <w:tcPr>
            <w:tcW w:w="3020" w:type="dxa"/>
            <w:vAlign w:val="bottom"/>
          </w:tcPr>
          <w:p>
            <w:pPr>
              <w:ind w:left="460"/>
              <w:spacing w:after="0"/>
              <w:rPr>
                <w:sz w:val="20"/>
                <w:szCs w:val="20"/>
                <w:color w:val="auto"/>
              </w:rPr>
            </w:pPr>
            <w:r>
              <w:rPr>
                <w:rFonts w:ascii="Arial" w:cs="Arial" w:eastAsia="Arial" w:hAnsi="Arial"/>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Arial" w:cs="Arial" w:eastAsia="Arial" w:hAnsi="Arial"/>
                <w:sz w:val="18"/>
                <w:szCs w:val="18"/>
                <w:b w:val="1"/>
                <w:bCs w:val="1"/>
                <w:color w:val="auto"/>
              </w:rPr>
              <w:t>02861</w:t>
            </w:r>
          </w:p>
        </w:tc>
        <w:tc>
          <w:tcPr>
            <w:tcW w:w="0" w:type="dxa"/>
            <w:vAlign w:val="bottom"/>
          </w:tcPr>
          <w:p>
            <w:pPr>
              <w:spacing w:after="0"/>
              <w:rPr>
                <w:sz w:val="1"/>
                <w:szCs w:val="1"/>
                <w:color w:val="auto"/>
              </w:rPr>
            </w:pPr>
          </w:p>
        </w:tc>
      </w:tr>
      <w:tr>
        <w:trPr>
          <w:trHeight w:val="243"/>
        </w:trPr>
        <w:tc>
          <w:tcPr>
            <w:tcW w:w="374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1"/>
                <w:szCs w:val="21"/>
                <w:color w:val="auto"/>
              </w:rPr>
            </w:pPr>
          </w:p>
        </w:tc>
        <w:tc>
          <w:tcPr>
            <w:tcW w:w="316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301"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(401) 431-8697</w:t>
      </w:r>
    </w:p>
    <w:p>
      <w:pPr>
        <w:spacing w:after="0" w:line="24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29"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ectPr>
          <w:pgSz w:w="11900" w:h="16838" w:orient="portrait"/>
          <w:cols w:equalWidth="0" w:num="1">
            <w:col w:w="11100"/>
          </w:cols>
          <w:pgMar w:left="320" w:top="985" w:right="479" w:bottom="1440" w:gutter="0" w:footer="0" w:header="0"/>
        </w:sectPr>
      </w:pPr>
    </w:p>
    <w:p>
      <w:pPr>
        <w:spacing w:after="0" w:line="4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160" w:space="720"/>
            <w:col w:w="1640" w:space="720"/>
            <w:col w:w="3860"/>
          </w:cols>
          <w:pgMar w:left="320" w:top="985" w:right="47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Global Select Market</w:t>
      </w:r>
    </w:p>
    <w:p>
      <w:pPr>
        <w:spacing w:after="0" w:line="205" w:lineRule="exact"/>
        <w:rPr>
          <w:sz w:val="24"/>
          <w:szCs w:val="24"/>
          <w:color w:val="auto"/>
        </w:rPr>
      </w:pPr>
    </w:p>
    <w:p>
      <w:pPr>
        <w:sectPr>
          <w:pgSz w:w="11900" w:h="16838" w:orient="portrait"/>
          <w:cols w:equalWidth="0" w:num="3">
            <w:col w:w="4660" w:space="720"/>
            <w:col w:w="1540" w:space="720"/>
            <w:col w:w="3460"/>
          </w:cols>
          <w:pgMar w:left="320" w:top="985" w:right="479" w:bottom="1440" w:gutter="0" w:footer="0" w:header="0"/>
          <w:type w:val="continuous"/>
        </w:sectPr>
      </w:pPr>
    </w:p>
    <w:p>
      <w:pPr>
        <w:spacing w:after="0" w:line="263" w:lineRule="exact"/>
        <w:rPr>
          <w:sz w:val="24"/>
          <w:szCs w:val="24"/>
          <w:color w:val="auto"/>
        </w:rPr>
      </w:pPr>
    </w:p>
    <w:p>
      <w:pPr>
        <w:ind w:right="8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or Rule 12b-2 of the Securities Exchange Act of 1934.</w:t>
      </w:r>
    </w:p>
    <w:p>
      <w:pPr>
        <w:spacing w:after="0" w:line="166" w:lineRule="exact"/>
        <w:rPr>
          <w:sz w:val="24"/>
          <w:szCs w:val="24"/>
          <w:color w:val="auto"/>
        </w:rPr>
      </w:pPr>
    </w:p>
    <w:p>
      <w:pPr>
        <w:spacing w:after="0" w:line="230" w:lineRule="exact"/>
        <w:tabs>
          <w:tab w:leader="none" w:pos="2340" w:val="left"/>
        </w:tabs>
        <w:rPr>
          <w:sz w:val="20"/>
          <w:szCs w:val="20"/>
          <w:color w:val="auto"/>
        </w:rPr>
      </w:pPr>
      <w:r>
        <w:rPr>
          <w:rFonts w:ascii="Arial" w:cs="Arial" w:eastAsia="Arial" w:hAnsi="Arial"/>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80" w:lineRule="exact"/>
        <w:rPr>
          <w:sz w:val="24"/>
          <w:szCs w:val="24"/>
          <w:color w:val="auto"/>
        </w:rPr>
      </w:pPr>
    </w:p>
    <w:p>
      <w:pPr>
        <w:ind w:right="460"/>
        <w:spacing w:after="0" w:line="251"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type w:val="continuous"/>
        </w:sectPr>
      </w:pPr>
    </w:p>
    <w:bookmarkStart w:id="1" w:name="page2"/>
    <w:bookmarkEnd w:id="1"/>
    <w:p>
      <w:pPr>
        <w:ind w:right="28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As announced on October 10, 2021, Richard S. Stoddart, most recently the Lead Independent Director of the Board of Directors (the “Board”) of Hasbro, Inc. (the “Company”), was appointed interim CEO of the Company. On October 22, 2021, the Board, based on the recommendation of the Compensation Committee of the Board, approved the compensation to be paid to Mr. Stoddart in his role as interim CEO. Mr. Stoddart will receive an annual base salary of $1.5 million and restricted stock units having a grant date value of $2.5 million. The restricted stock units, granted under the Company’s Restated 2003 Stock Incentive Performance Plan, as amended, will vest in full one year after the date of grant, contingent on Mr. Stoddart continuing to serve on the Board of the Company during that period and continuing to serve as the interim CEO of the Company during the period of time over that one year period as requested by the Board.</w:t>
      </w:r>
    </w:p>
    <w:p>
      <w:pPr>
        <w:spacing w:after="0" w:line="1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Mr. Stoddart, age 58, has served as a member of the Board since 2014 and is the former President and Chief Executive Officer of global marketing execution firm InnerWorkings, Inc., serving in that role from 2017 until 2020 when InnerWorkings, Inc. was acquired. Prior to that, Mr. Stoddart was the Chief Executive Officer of Leo Burnett Worldwide from February 2016 to 2017, the Chief Executive Officer of Leo Burnett North America from 2013 to 2016 and the President of Leo Burnett North America from 2005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HASBRO, INC.</w:t>
            </w:r>
          </w:p>
        </w:tc>
      </w:tr>
      <w:tr>
        <w:trPr>
          <w:trHeight w:val="76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 Deborah Thomas</w:t>
            </w:r>
          </w:p>
        </w:tc>
      </w:tr>
      <w:tr>
        <w:trPr>
          <w:trHeight w:val="24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60" w:type="dxa"/>
            <w:vAlign w:val="bottom"/>
          </w:tcPr>
          <w:p>
            <w:pPr>
              <w:spacing w:after="0"/>
              <w:rPr>
                <w:sz w:val="21"/>
                <w:szCs w:val="21"/>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Deborah Thomas</w:t>
            </w:r>
          </w:p>
        </w:tc>
        <w:tc>
          <w:tcPr>
            <w:tcW w:w="2380" w:type="dxa"/>
            <w:vAlign w:val="bottom"/>
          </w:tcPr>
          <w:p>
            <w:pPr>
              <w:spacing w:after="0"/>
              <w:rPr>
                <w:sz w:val="21"/>
                <w:szCs w:val="21"/>
                <w:color w:val="auto"/>
              </w:rPr>
            </w:pPr>
          </w:p>
        </w:tc>
      </w:tr>
      <w:tr>
        <w:trPr>
          <w:trHeight w:val="176"/>
        </w:trPr>
        <w:tc>
          <w:tcPr>
            <w:tcW w:w="52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660" w:type="dxa"/>
            <w:vAlign w:val="bottom"/>
          </w:tcPr>
          <w:p>
            <w:pPr>
              <w:spacing w:after="0"/>
              <w:rPr>
                <w:sz w:val="15"/>
                <w:szCs w:val="15"/>
                <w:color w:val="auto"/>
              </w:rPr>
            </w:pPr>
          </w:p>
        </w:tc>
        <w:tc>
          <w:tcPr>
            <w:tcW w:w="3840" w:type="dxa"/>
            <w:vAlign w:val="bottom"/>
            <w:gridSpan w:val="2"/>
          </w:tcPr>
          <w:p>
            <w:pPr>
              <w:spacing w:after="0" w:line="176" w:lineRule="exact"/>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520" w:type="dxa"/>
            <w:vAlign w:val="bottom"/>
          </w:tcPr>
          <w:p>
            <w:pPr>
              <w:spacing w:after="0"/>
              <w:rPr>
                <w:sz w:val="20"/>
                <w:szCs w:val="20"/>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(Duly Authorized Officer and Principal Financial Officer)</w:t>
            </w:r>
          </w:p>
        </w:tc>
      </w:tr>
    </w:tbl>
    <w:p>
      <w:pPr>
        <w:ind w:left="680"/>
        <w:spacing w:after="0"/>
        <w:rPr>
          <w:sz w:val="20"/>
          <w:szCs w:val="20"/>
          <w:color w:val="auto"/>
        </w:rPr>
      </w:pPr>
      <w:r>
        <w:rPr>
          <w:rFonts w:ascii="Arial" w:cs="Arial" w:eastAsia="Arial" w:hAnsi="Arial"/>
          <w:sz w:val="18"/>
          <w:szCs w:val="18"/>
          <w:color w:val="auto"/>
        </w:rPr>
        <w:t>Date: October 27, 2021</w:t>
      </w:r>
    </w:p>
    <w:sectPr>
      <w:pgSz w:w="11900" w:h="16838" w:orient="portrait"/>
      <w:cols w:equalWidth="0" w:num="1">
        <w:col w:w="10920"/>
      </w:cols>
      <w:pgMar w:left="320" w:top="113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2021-10-27T14:56:13Z</dcterms:created>
  <dcterms:modified xsi:type="dcterms:W3CDTF">2021-10-27T14:56:13Z</dcterms:modified>
</cp:coreProperties>
</file>