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5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9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17"/>
          <w:szCs w:val="17"/>
          <w:color w:val="auto"/>
        </w:rPr>
        <w:t>April 15, 2024</w:t>
      </w:r>
    </w:p>
    <w:p>
      <w:pPr>
        <w:spacing w:after="0" w:line="37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Hasbro, Inc.</w:t>
      </w:r>
    </w:p>
    <w:p>
      <w:pPr>
        <w:spacing w:after="0" w:line="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8" w:lineRule="exact"/>
        <w:rPr>
          <w:sz w:val="24"/>
          <w:szCs w:val="24"/>
          <w:color w:val="auto"/>
        </w:rPr>
      </w:pPr>
    </w:p>
    <w:tbl>
      <w:tblPr>
        <w:tblLayout w:type="fixed"/>
        <w:tblInd w:w="380" w:type="dxa"/>
        <w:tblCellMar>
          <w:top w:w="0" w:type="dxa"/>
          <w:left w:w="0" w:type="dxa"/>
          <w:bottom w:w="0" w:type="dxa"/>
          <w:right w:w="0" w:type="dxa"/>
        </w:tblCellMar>
      </w:tblPr>
      <w:tr>
        <w:trPr>
          <w:trHeight w:val="261"/>
        </w:trPr>
        <w:tc>
          <w:tcPr>
            <w:tcW w:w="37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Rhode Island</w:t>
            </w:r>
          </w:p>
        </w:tc>
        <w:tc>
          <w:tcPr>
            <w:tcW w:w="3020" w:type="dxa"/>
            <w:vAlign w:val="bottom"/>
          </w:tcPr>
          <w:p>
            <w:pPr>
              <w:jc w:val="right"/>
              <w:ind w:right="1190"/>
              <w:spacing w:after="0"/>
              <w:rPr>
                <w:sz w:val="20"/>
                <w:szCs w:val="20"/>
                <w:color w:val="auto"/>
              </w:rPr>
            </w:pPr>
            <w:r>
              <w:rPr>
                <w:rFonts w:ascii="Times New Roman" w:cs="Times New Roman" w:eastAsia="Times New Roman" w:hAnsi="Times New Roman"/>
                <w:sz w:val="18"/>
                <w:szCs w:val="18"/>
                <w:color w:val="auto"/>
              </w:rPr>
              <w:t>1-6682</w:t>
            </w:r>
          </w:p>
        </w:tc>
        <w:tc>
          <w:tcPr>
            <w:tcW w:w="31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05-0155090</w:t>
            </w:r>
          </w:p>
        </w:tc>
        <w:tc>
          <w:tcPr>
            <w:tcW w:w="0" w:type="dxa"/>
            <w:vAlign w:val="bottom"/>
          </w:tcPr>
          <w:p>
            <w:pPr>
              <w:spacing w:after="0"/>
              <w:rPr>
                <w:sz w:val="1"/>
                <w:szCs w:val="1"/>
                <w:color w:val="auto"/>
              </w:rPr>
            </w:pPr>
          </w:p>
        </w:tc>
      </w:tr>
      <w:tr>
        <w:trPr>
          <w:trHeight w:val="180"/>
        </w:trPr>
        <w:tc>
          <w:tcPr>
            <w:tcW w:w="3740" w:type="dxa"/>
            <w:vAlign w:val="bottom"/>
          </w:tcPr>
          <w:p>
            <w:pPr>
              <w:jc w:val="center"/>
              <w:ind w:right="35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3160" w:type="dxa"/>
            <w:vAlign w:val="bottom"/>
          </w:tcPr>
          <w:p>
            <w:pPr>
              <w:jc w:val="center"/>
              <w:ind w:left="470"/>
              <w:spacing w:after="0" w:line="181" w:lineRule="exact"/>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234"/>
        </w:trPr>
        <w:tc>
          <w:tcPr>
            <w:tcW w:w="374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organization)</w:t>
            </w:r>
          </w:p>
        </w:tc>
        <w:tc>
          <w:tcPr>
            <w:tcW w:w="3020" w:type="dxa"/>
            <w:vAlign w:val="bottom"/>
            <w:vMerge w:val="continue"/>
          </w:tcPr>
          <w:p>
            <w:pPr>
              <w:spacing w:after="0"/>
              <w:rPr>
                <w:sz w:val="20"/>
                <w:szCs w:val="20"/>
                <w:color w:val="auto"/>
              </w:rPr>
            </w:pPr>
          </w:p>
        </w:tc>
        <w:tc>
          <w:tcPr>
            <w:tcW w:w="3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374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1027 Newport Avenue</w:t>
            </w:r>
          </w:p>
        </w:tc>
        <w:tc>
          <w:tcPr>
            <w:tcW w:w="30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Pawtucket, Rhode Island</w:t>
            </w:r>
          </w:p>
        </w:tc>
        <w:tc>
          <w:tcPr>
            <w:tcW w:w="31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02861</w:t>
            </w:r>
          </w:p>
        </w:tc>
        <w:tc>
          <w:tcPr>
            <w:tcW w:w="0" w:type="dxa"/>
            <w:vAlign w:val="bottom"/>
          </w:tcPr>
          <w:p>
            <w:pPr>
              <w:spacing w:after="0"/>
              <w:rPr>
                <w:sz w:val="1"/>
                <w:szCs w:val="1"/>
                <w:color w:val="auto"/>
              </w:rPr>
            </w:pPr>
          </w:p>
        </w:tc>
      </w:tr>
      <w:tr>
        <w:trPr>
          <w:trHeight w:val="256"/>
        </w:trPr>
        <w:tc>
          <w:tcPr>
            <w:tcW w:w="374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20" w:type="dxa"/>
            <w:vAlign w:val="bottom"/>
          </w:tcPr>
          <w:p>
            <w:pPr>
              <w:spacing w:after="0"/>
              <w:rPr>
                <w:sz w:val="22"/>
                <w:szCs w:val="22"/>
                <w:color w:val="auto"/>
              </w:rPr>
            </w:pPr>
          </w:p>
        </w:tc>
        <w:tc>
          <w:tcPr>
            <w:tcW w:w="31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31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 xml:space="preserve">Registrant’s telephone number, including area code:  </w:t>
      </w:r>
      <w:r>
        <w:rPr>
          <w:rFonts w:ascii="Times New Roman" w:cs="Times New Roman" w:eastAsia="Times New Roman" w:hAnsi="Times New Roman"/>
          <w:sz w:val="20"/>
          <w:szCs w:val="20"/>
          <w:b w:val="1"/>
          <w:bCs w:val="1"/>
          <w:color w:val="auto"/>
        </w:rPr>
        <w:t>(401) 431-8697</w:t>
      </w:r>
    </w:p>
    <w:p>
      <w:pPr>
        <w:spacing w:after="0" w:line="247" w:lineRule="exact"/>
        <w:rPr>
          <w:sz w:val="24"/>
          <w:szCs w:val="24"/>
          <w:color w:val="auto"/>
        </w:rPr>
      </w:pPr>
    </w:p>
    <w:p>
      <w:pPr>
        <w:spacing w:after="0" w:line="283" w:lineRule="auto"/>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w:t>
      </w:r>
    </w:p>
    <w:p>
      <w:pPr>
        <w:spacing w:after="0" w:line="173" w:lineRule="exact"/>
        <w:rPr>
          <w:sz w:val="24"/>
          <w:szCs w:val="24"/>
          <w:color w:val="auto"/>
        </w:rPr>
      </w:pPr>
    </w:p>
    <w:p>
      <w:pPr>
        <w:ind w:left="320" w:hanging="312"/>
        <w:spacing w:after="0"/>
        <w:tabs>
          <w:tab w:leader="none" w:pos="3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Written communications pursuant to Rule 425 under the Securities Act (17 CFR 230.425)</w:t>
      </w:r>
    </w:p>
    <w:p>
      <w:pPr>
        <w:spacing w:after="0" w:line="242" w:lineRule="exact"/>
        <w:rPr>
          <w:rFonts w:ascii="MS PGothic" w:cs="MS PGothic" w:eastAsia="MS PGothic" w:hAnsi="MS PGothic"/>
          <w:sz w:val="20"/>
          <w:szCs w:val="20"/>
          <w:color w:val="auto"/>
        </w:rPr>
      </w:pPr>
    </w:p>
    <w:p>
      <w:pPr>
        <w:ind w:left="240" w:hanging="232"/>
        <w:spacing w:after="0"/>
        <w:tabs>
          <w:tab w:leader="none" w:pos="2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Soliciting material pursuant to Rule 14a-12 under the Exchange Act (17 CFR 240.14a-12)</w:t>
      </w:r>
    </w:p>
    <w:p>
      <w:pPr>
        <w:spacing w:after="0" w:line="256" w:lineRule="exact"/>
        <w:rPr>
          <w:rFonts w:ascii="MS PGothic" w:cs="MS PGothic" w:eastAsia="MS PGothic" w:hAnsi="MS PGothic"/>
          <w:sz w:val="20"/>
          <w:szCs w:val="20"/>
          <w:color w:val="auto"/>
        </w:rPr>
      </w:pPr>
    </w:p>
    <w:p>
      <w:pPr>
        <w:ind w:left="340" w:hanging="332"/>
        <w:spacing w:after="0"/>
        <w:tabs>
          <w:tab w:leader="none" w:pos="3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14d-2(b) under the Exchange Act (17 CFR 240.14d-2(b))</w:t>
      </w:r>
    </w:p>
    <w:p>
      <w:pPr>
        <w:spacing w:after="0" w:line="242" w:lineRule="exact"/>
        <w:rPr>
          <w:rFonts w:ascii="MS PGothic" w:cs="MS PGothic" w:eastAsia="MS PGothic" w:hAnsi="MS PGothic"/>
          <w:sz w:val="20"/>
          <w:szCs w:val="20"/>
          <w:color w:val="auto"/>
        </w:rPr>
      </w:pPr>
    </w:p>
    <w:p>
      <w:pPr>
        <w:ind w:left="340" w:hanging="332"/>
        <w:spacing w:after="0"/>
        <w:tabs>
          <w:tab w:leader="none" w:pos="34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13e-4(c) under the Exchange Act (17 CFR 240.13e-4(c))</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ectPr>
          <w:pgSz w:w="11900" w:h="16838" w:orient="portrait"/>
          <w:cols w:equalWidth="0" w:num="1">
            <w:col w:w="11100"/>
          </w:cols>
          <w:pgMar w:left="320" w:top="979" w:right="479" w:bottom="1440" w:gutter="0" w:footer="0" w:header="0"/>
        </w:sectPr>
      </w:pPr>
    </w:p>
    <w:p>
      <w:pPr>
        <w:spacing w:after="0" w:line="58"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Symbol(s)</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each exchange on which registered</w:t>
      </w:r>
    </w:p>
    <w:p>
      <w:pPr>
        <w:spacing w:after="0" w:line="39" w:lineRule="exact"/>
        <w:rPr>
          <w:sz w:val="24"/>
          <w:szCs w:val="24"/>
          <w:color w:val="auto"/>
        </w:rPr>
      </w:pPr>
    </w:p>
    <w:p>
      <w:pPr>
        <w:sectPr>
          <w:pgSz w:w="11900" w:h="16838" w:orient="portrait"/>
          <w:cols w:equalWidth="0" w:num="3">
            <w:col w:w="4160" w:space="720"/>
            <w:col w:w="1640" w:space="720"/>
            <w:col w:w="3860"/>
          </w:cols>
          <w:pgMar w:left="320" w:top="979" w:right="479" w:bottom="1440" w:gutter="0" w:footer="0" w:header="0"/>
          <w:type w:val="continuous"/>
        </w:sectPr>
      </w:pPr>
    </w:p>
    <w:p>
      <w:pPr>
        <w:ind w:left="800"/>
        <w:spacing w:after="0"/>
        <w:rPr>
          <w:sz w:val="20"/>
          <w:szCs w:val="20"/>
          <w:color w:val="auto"/>
        </w:rPr>
      </w:pPr>
      <w:r>
        <w:rPr>
          <w:rFonts w:ascii="Times New Roman" w:cs="Times New Roman" w:eastAsia="Times New Roman" w:hAnsi="Times New Roman"/>
          <w:sz w:val="18"/>
          <w:szCs w:val="18"/>
          <w:color w:val="auto"/>
        </w:rPr>
        <w:t>Common Stock, $0.50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HAS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The NASDAQ Global Select Market</w:t>
      </w:r>
    </w:p>
    <w:p>
      <w:pPr>
        <w:spacing w:after="0" w:line="209" w:lineRule="exact"/>
        <w:rPr>
          <w:sz w:val="24"/>
          <w:szCs w:val="24"/>
          <w:color w:val="auto"/>
        </w:rPr>
      </w:pPr>
    </w:p>
    <w:p>
      <w:pPr>
        <w:sectPr>
          <w:pgSz w:w="11900" w:h="16838" w:orient="portrait"/>
          <w:cols w:equalWidth="0" w:num="3">
            <w:col w:w="4660" w:space="720"/>
            <w:col w:w="1540" w:space="720"/>
            <w:col w:w="3460"/>
          </w:cols>
          <w:pgMar w:left="320" w:top="979" w:right="479" w:bottom="1440" w:gutter="0" w:footer="0" w:header="0"/>
          <w:type w:val="continuous"/>
        </w:sectPr>
      </w:pPr>
    </w:p>
    <w:p>
      <w:pPr>
        <w:spacing w:after="0" w:line="245" w:lineRule="exact"/>
        <w:rPr>
          <w:sz w:val="24"/>
          <w:szCs w:val="24"/>
          <w:color w:val="auto"/>
        </w:rPr>
      </w:pPr>
    </w:p>
    <w:p>
      <w:pPr>
        <w:ind w:right="80"/>
        <w:spacing w:after="0" w:line="261" w:lineRule="auto"/>
        <w:rPr>
          <w:sz w:val="20"/>
          <w:szCs w:val="20"/>
          <w:color w:val="auto"/>
        </w:rPr>
      </w:pPr>
      <w:r>
        <w:rPr>
          <w:rFonts w:ascii="Times New Roman" w:cs="Times New Roman" w:eastAsia="Times New Roman" w:hAnsi="Times New Roman"/>
          <w:sz w:val="20"/>
          <w:szCs w:val="20"/>
          <w:color w:val="auto"/>
        </w:rPr>
        <w:t>Indicate by check mark whether the registrant is an emerging growth company as defined in Rule 405 of the Securities Act of 1933 or Rule 12b-2 of the Securities Exchange Act of 1934.</w:t>
      </w:r>
    </w:p>
    <w:p>
      <w:pPr>
        <w:spacing w:after="0" w:line="230" w:lineRule="exact"/>
        <w:tabs>
          <w:tab w:leader="none" w:pos="2340" w:val="left"/>
        </w:tabs>
        <w:rPr>
          <w:sz w:val="20"/>
          <w:szCs w:val="20"/>
          <w:color w:val="auto"/>
        </w:rPr>
      </w:pPr>
      <w:r>
        <w:rPr>
          <w:rFonts w:ascii="Times New Roman" w:cs="Times New Roman" w:eastAsia="Times New Roman" w:hAnsi="Times New Roman"/>
          <w:sz w:val="20"/>
          <w:szCs w:val="20"/>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147" w:lineRule="exact"/>
        <w:rPr>
          <w:sz w:val="24"/>
          <w:szCs w:val="24"/>
          <w:color w:val="auto"/>
        </w:rPr>
      </w:pPr>
    </w:p>
    <w:p>
      <w:pPr>
        <w:ind w:right="460"/>
        <w:spacing w:after="0" w:line="266" w:lineRule="exact"/>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521970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79" w:right="479" w:bottom="1440" w:gutter="0" w:footer="0" w:header="0"/>
          <w:type w:val="continuous"/>
        </w:sectPr>
      </w:pPr>
    </w:p>
    <w:bookmarkStart w:id="1" w:name="page2"/>
    <w:bookmarkEnd w:id="1"/>
    <w:p>
      <w:pPr>
        <w:ind w:left="1380" w:right="80" w:hanging="1362"/>
        <w:spacing w:after="0" w:line="273" w:lineRule="auto"/>
        <w:tabs>
          <w:tab w:leader="none" w:pos="1360" w:val="left"/>
        </w:tabs>
        <w:rPr>
          <w:sz w:val="20"/>
          <w:szCs w:val="20"/>
          <w:color w:val="auto"/>
        </w:rPr>
      </w:pPr>
      <w:r>
        <w:rPr>
          <w:rFonts w:ascii="Times New Roman" w:cs="Times New Roman" w:eastAsia="Times New Roman" w:hAnsi="Times New Roman"/>
          <w:sz w:val="20"/>
          <w:szCs w:val="20"/>
          <w:b w:val="1"/>
          <w:bCs w:val="1"/>
          <w:color w:val="auto"/>
        </w:rPr>
        <w:t>Item 5.02</w:t>
      </w:r>
      <w:r>
        <w:rPr>
          <w:sz w:val="20"/>
          <w:szCs w:val="20"/>
          <w:color w:val="auto"/>
        </w:rPr>
        <w:tab/>
      </w:r>
      <w:r>
        <w:rPr>
          <w:rFonts w:ascii="Times New Roman" w:cs="Times New Roman" w:eastAsia="Times New Roman" w:hAnsi="Times New Roman"/>
          <w:sz w:val="20"/>
          <w:szCs w:val="20"/>
          <w:b w:val="1"/>
          <w:bCs w:val="1"/>
          <w:color w:val="auto"/>
        </w:rPr>
        <w:t>Departure of Directors or Certain Officers; Election of Directors; Appointment of Certain Officers; Compensatory Arrangements of Certain Officers.</w:t>
      </w:r>
    </w:p>
    <w:p>
      <w:pPr>
        <w:spacing w:after="0" w:line="30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 April 15, 2024, Cynthia Williams, President of Wizards of the Coast and Hasbro Gaming, informed the Company of her resignation from the Company effective April 26, 2024. The Company is conducting a process to identify her successor, looking at both internal and external candidates.</w:t>
      </w:r>
    </w:p>
    <w:p>
      <w:pPr>
        <w:spacing w:after="0" w:line="200" w:lineRule="exact"/>
        <w:rPr>
          <w:sz w:val="20"/>
          <w:szCs w:val="20"/>
          <w:color w:val="auto"/>
        </w:rPr>
      </w:pPr>
    </w:p>
    <w:p>
      <w:pPr>
        <w:spacing w:after="0" w:line="2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32" w:lineRule="exact"/>
        <w:rPr>
          <w:sz w:val="20"/>
          <w:szCs w:val="20"/>
          <w:color w:val="auto"/>
        </w:rPr>
      </w:pPr>
    </w:p>
    <w:p>
      <w:pPr>
        <w:ind w:right="240" w:firstLine="648"/>
        <w:spacing w:after="0" w:line="26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9" w:lineRule="exact"/>
        <w:rPr>
          <w:sz w:val="20"/>
          <w:szCs w:val="20"/>
          <w:color w:val="auto"/>
        </w:rPr>
      </w:pPr>
    </w:p>
    <w:tbl>
      <w:tblPr>
        <w:tblLayout w:type="fixed"/>
        <w:tblInd w:w="518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HASBRO, INC.</w:t>
            </w:r>
          </w:p>
        </w:tc>
      </w:tr>
      <w:tr>
        <w:trPr>
          <w:trHeight w:val="796"/>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Gina Goetter</w:t>
            </w:r>
          </w:p>
        </w:tc>
        <w:tc>
          <w:tcPr>
            <w:tcW w:w="2500" w:type="dxa"/>
            <w:vAlign w:val="bottom"/>
          </w:tcPr>
          <w:p>
            <w:pPr>
              <w:spacing w:after="0"/>
              <w:rPr>
                <w:sz w:val="24"/>
                <w:szCs w:val="24"/>
                <w:color w:val="auto"/>
              </w:rPr>
            </w:pPr>
          </w:p>
        </w:tc>
      </w:tr>
      <w:tr>
        <w:trPr>
          <w:trHeight w:val="245"/>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Gina Goetter</w:t>
            </w: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bl>
    <w:p>
      <w:pPr>
        <w:ind w:left="20"/>
        <w:spacing w:after="0"/>
        <w:rPr>
          <w:sz w:val="20"/>
          <w:szCs w:val="20"/>
          <w:color w:val="auto"/>
        </w:rPr>
      </w:pPr>
      <w:r>
        <w:rPr>
          <w:rFonts w:ascii="Times New Roman" w:cs="Times New Roman" w:eastAsia="Times New Roman" w:hAnsi="Times New Roman"/>
          <w:sz w:val="18"/>
          <w:szCs w:val="18"/>
          <w:color w:val="auto"/>
        </w:rPr>
        <w:t>Date: April 17, 2024</w:t>
      </w:r>
    </w:p>
    <w:sectPr>
      <w:pgSz w:w="11900" w:h="16838" w:orient="portrait"/>
      <w:cols w:equalWidth="0" w:num="1">
        <w:col w:w="11160"/>
      </w:cols>
      <w:pgMar w:left="320" w:top="1409"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2024-04-17T08:28:25Z</dcterms:created>
  <dcterms:modified xsi:type="dcterms:W3CDTF">2024-04-17T08:28:25Z</dcterms:modified>
</cp:coreProperties>
</file>