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17"/>
          <w:szCs w:val="17"/>
          <w:color w:val="auto"/>
        </w:rPr>
        <w:t>October 24, 2024</w:t>
      </w:r>
    </w:p>
    <w:p>
      <w:pPr>
        <w:spacing w:after="0" w:line="37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Hasbro, Inc.</w:t>
      </w:r>
    </w:p>
    <w:p>
      <w:pPr>
        <w:spacing w:after="0" w:line="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8" w:lineRule="exact"/>
        <w:rPr>
          <w:sz w:val="24"/>
          <w:szCs w:val="24"/>
          <w:color w:val="auto"/>
        </w:rPr>
      </w:pPr>
    </w:p>
    <w:tbl>
      <w:tblPr>
        <w:tblLayout w:type="fixed"/>
        <w:tblInd w:w="380" w:type="dxa"/>
        <w:tblCellMar>
          <w:top w:w="0" w:type="dxa"/>
          <w:left w:w="0" w:type="dxa"/>
          <w:bottom w:w="0" w:type="dxa"/>
          <w:right w:w="0" w:type="dxa"/>
        </w:tblCellMar>
      </w:tblPr>
      <w:tr>
        <w:trPr>
          <w:trHeight w:val="261"/>
        </w:trPr>
        <w:tc>
          <w:tcPr>
            <w:tcW w:w="37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Rhode Island</w:t>
            </w:r>
          </w:p>
        </w:tc>
        <w:tc>
          <w:tcPr>
            <w:tcW w:w="30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1-6682</w:t>
            </w:r>
          </w:p>
        </w:tc>
        <w:tc>
          <w:tcPr>
            <w:tcW w:w="31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05-0155090</w:t>
            </w:r>
          </w:p>
        </w:tc>
        <w:tc>
          <w:tcPr>
            <w:tcW w:w="0" w:type="dxa"/>
            <w:vAlign w:val="bottom"/>
          </w:tcPr>
          <w:p>
            <w:pPr>
              <w:spacing w:after="0"/>
              <w:rPr>
                <w:sz w:val="1"/>
                <w:szCs w:val="1"/>
                <w:color w:val="auto"/>
              </w:rPr>
            </w:pPr>
          </w:p>
        </w:tc>
      </w:tr>
      <w:tr>
        <w:trPr>
          <w:trHeight w:val="180"/>
        </w:trPr>
        <w:tc>
          <w:tcPr>
            <w:tcW w:w="3740" w:type="dxa"/>
            <w:vAlign w:val="bottom"/>
          </w:tcPr>
          <w:p>
            <w:pPr>
              <w:jc w:val="center"/>
              <w:ind w:right="35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160" w:type="dxa"/>
            <w:vAlign w:val="bottom"/>
          </w:tcPr>
          <w:p>
            <w:pPr>
              <w:jc w:val="center"/>
              <w:ind w:left="470"/>
              <w:spacing w:after="0" w:line="181" w:lineRule="exact"/>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34"/>
        </w:trPr>
        <w:tc>
          <w:tcPr>
            <w:tcW w:w="37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20" w:type="dxa"/>
            <w:vAlign w:val="bottom"/>
            <w:vMerge w:val="continue"/>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7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1027 Newport Avenue</w:t>
            </w:r>
          </w:p>
        </w:tc>
        <w:tc>
          <w:tcPr>
            <w:tcW w:w="30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Pawtucket, Rhode Island</w:t>
            </w:r>
          </w:p>
        </w:tc>
        <w:tc>
          <w:tcPr>
            <w:tcW w:w="31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02861</w:t>
            </w:r>
          </w:p>
        </w:tc>
        <w:tc>
          <w:tcPr>
            <w:tcW w:w="0" w:type="dxa"/>
            <w:vAlign w:val="bottom"/>
          </w:tcPr>
          <w:p>
            <w:pPr>
              <w:spacing w:after="0"/>
              <w:rPr>
                <w:sz w:val="1"/>
                <w:szCs w:val="1"/>
                <w:color w:val="auto"/>
              </w:rPr>
            </w:pPr>
          </w:p>
        </w:tc>
      </w:tr>
      <w:tr>
        <w:trPr>
          <w:trHeight w:val="256"/>
        </w:trPr>
        <w:tc>
          <w:tcPr>
            <w:tcW w:w="37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2"/>
                <w:szCs w:val="22"/>
                <w:color w:val="auto"/>
              </w:rPr>
            </w:pPr>
          </w:p>
        </w:tc>
        <w:tc>
          <w:tcPr>
            <w:tcW w:w="31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(401) 431-8697</w:t>
      </w:r>
    </w:p>
    <w:p>
      <w:pPr>
        <w:spacing w:after="0" w:line="247"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173"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242"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256"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242"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ectPr>
          <w:pgSz w:w="11900" w:h="16838" w:orient="portrait"/>
          <w:cols w:equalWidth="0" w:num="1">
            <w:col w:w="11100"/>
          </w:cols>
          <w:pgMar w:left="320" w:top="979" w:right="479" w:bottom="1440" w:gutter="0" w:footer="0" w:header="0"/>
        </w:sectPr>
      </w:pPr>
    </w:p>
    <w:p>
      <w:pPr>
        <w:spacing w:after="0" w:line="5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sectPr>
          <w:pgSz w:w="11900" w:h="16838" w:orient="portrait"/>
          <w:cols w:equalWidth="0" w:num="3">
            <w:col w:w="4160" w:space="720"/>
            <w:col w:w="1640" w:space="720"/>
            <w:col w:w="3860"/>
          </w:cols>
          <w:pgMar w:left="320" w:top="979" w:right="47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8"/>
          <w:szCs w:val="18"/>
          <w:color w:val="auto"/>
        </w:rPr>
        <w:t>Common Stock, $0.50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HAS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Global Select Market</w:t>
      </w:r>
    </w:p>
    <w:p>
      <w:pPr>
        <w:spacing w:after="0" w:line="209" w:lineRule="exact"/>
        <w:rPr>
          <w:sz w:val="24"/>
          <w:szCs w:val="24"/>
          <w:color w:val="auto"/>
        </w:rPr>
      </w:pPr>
    </w:p>
    <w:p>
      <w:pPr>
        <w:sectPr>
          <w:pgSz w:w="11900" w:h="16838" w:orient="portrait"/>
          <w:cols w:equalWidth="0" w:num="3">
            <w:col w:w="4660" w:space="720"/>
            <w:col w:w="1540" w:space="720"/>
            <w:col w:w="3460"/>
          </w:cols>
          <w:pgMar w:left="320" w:top="979" w:right="479" w:bottom="1440" w:gutter="0" w:footer="0" w:header="0"/>
          <w:type w:val="continuous"/>
        </w:sectPr>
      </w:pPr>
    </w:p>
    <w:p>
      <w:pPr>
        <w:spacing w:after="0" w:line="245"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or Rule 12b-2 of the Securities Exchange Act of 1934.</w:t>
      </w:r>
    </w:p>
    <w:p>
      <w:pPr>
        <w:spacing w:after="0" w:line="230" w:lineRule="exact"/>
        <w:tabs>
          <w:tab w:leader="none" w:pos="2340" w:val="left"/>
        </w:tabs>
        <w:rPr>
          <w:sz w:val="20"/>
          <w:szCs w:val="20"/>
          <w:color w:val="auto"/>
        </w:rPr>
      </w:pPr>
      <w:r>
        <w:rPr>
          <w:rFonts w:ascii="Times New Roman" w:cs="Times New Roman" w:eastAsia="Times New Roman" w:hAnsi="Times New Roman"/>
          <w:sz w:val="20"/>
          <w:szCs w:val="20"/>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47" w:lineRule="exact"/>
        <w:rPr>
          <w:sz w:val="24"/>
          <w:szCs w:val="24"/>
          <w:color w:val="auto"/>
        </w:rPr>
      </w:pPr>
    </w:p>
    <w:p>
      <w:pPr>
        <w:ind w:right="460"/>
        <w:spacing w:after="0" w:line="266"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79" w:right="479" w:bottom="1440" w:gutter="0" w:footer="0" w:header="0"/>
          <w:type w:val="continuous"/>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October 24, 2024, Hasbro, Inc. ("Hasbro" or "we") announced its financial results for the fiscal quarter ended September 29, 2024, and certain other financial information. A copy of the press release is furnished herewith as Exhibit 99.1 and is incorporated by reference herein.</w:t>
      </w:r>
    </w:p>
    <w:p>
      <w:pPr>
        <w:spacing w:after="0" w:line="162"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The information furnished in Item 2.02, including the Exhibit attached hereto, shall not be deemed "filed" for any purpose, and shall not be deemed incorporated by reference in any filing under the Securities Act of 1933, as amended, or the Securities Exchange Act of 1934, as amended, regardless of any general incorporation language in any such filing.</w:t>
      </w:r>
    </w:p>
    <w:p>
      <w:pPr>
        <w:spacing w:after="0" w:line="38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Hasbro, Inc. Press Release, dated October 24, 2024.</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73" w:right="4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518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HASBRO, INC.</w:t>
            </w:r>
          </w:p>
        </w:tc>
      </w:tr>
      <w:tr>
        <w:trPr>
          <w:trHeight w:val="8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Gina Goetter</w:t>
            </w: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Gina Goetter</w:t>
            </w:r>
          </w:p>
        </w:tc>
      </w:tr>
      <w:tr>
        <w:trPr>
          <w:trHeight w:val="180"/>
        </w:trPr>
        <w:tc>
          <w:tcPr>
            <w:tcW w:w="9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Financial Officer and Chief</w:t>
            </w:r>
          </w:p>
        </w:tc>
      </w:tr>
      <w:tr>
        <w:trPr>
          <w:trHeight w:val="234"/>
        </w:trPr>
        <w:tc>
          <w:tcPr>
            <w:tcW w:w="9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Officer</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24, 2024</w:t>
      </w:r>
    </w:p>
    <w:p>
      <w:pPr>
        <w:sectPr>
          <w:pgSz w:w="11900" w:h="16838" w:orient="portrait"/>
          <w:cols w:equalWidth="0" w:num="1">
            <w:col w:w="11220"/>
          </w:cols>
          <w:pgMar w:left="320" w:top="1130"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857250" cy="857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Hasbro Reports Third Quarter 2024 Financial Results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Maintains Full Year EBITDA Guidance &amp; Declares Quarterly Dividend</w:t>
      </w:r>
    </w:p>
    <w:p>
      <w:pPr>
        <w:spacing w:after="0" w:line="200" w:lineRule="exact"/>
        <w:rPr>
          <w:sz w:val="20"/>
          <w:szCs w:val="20"/>
          <w:color w:val="auto"/>
        </w:rPr>
      </w:pPr>
    </w:p>
    <w:p>
      <w:pPr>
        <w:spacing w:after="0" w:line="27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 xml:space="preserve">Pawtucket, R.I., October 24, 2024 </w:t>
      </w:r>
      <w:r>
        <w:rPr>
          <w:rFonts w:ascii="Arial" w:cs="Arial" w:eastAsia="Arial" w:hAnsi="Arial"/>
          <w:sz w:val="20"/>
          <w:szCs w:val="20"/>
          <w:b w:val="1"/>
          <w:bCs w:val="1"/>
          <w:color w:val="auto"/>
        </w:rPr>
        <w:t>--</w:t>
      </w:r>
      <w:r>
        <w:rPr>
          <w:rFonts w:ascii="Arial" w:cs="Arial" w:eastAsia="Arial" w:hAnsi="Arial"/>
          <w:sz w:val="20"/>
          <w:szCs w:val="20"/>
          <w:color w:val="auto"/>
        </w:rPr>
        <w:t xml:space="preserve"> Hasbro, Inc. (NASDAQ: HAS), a leading toy and game company, today reported financial results for the third quarter 2024.</w:t>
      </w:r>
    </w:p>
    <w:p>
      <w:pPr>
        <w:spacing w:after="0" w:line="16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"Outperformance within our gaming and licensing businesses in the third quarter highlights the strength in two of our highest profit areas," said Chris Cocks, Hasbro Chief Executive Officer. "Our key initiatives around digital, licensing and reinvigorating our product innovation are bearing fruit.”</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continue to execute our turnaround efforts and are poised to finish the year with improved profitability, cash flow and operational rigor", said Gina Goetter, Hasbro’s Chief Financial Officer.</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2024 Highlights</w:t>
      </w:r>
    </w:p>
    <w:p>
      <w:pPr>
        <w:spacing w:after="0" w:line="231" w:lineRule="exact"/>
        <w:rPr>
          <w:sz w:val="20"/>
          <w:szCs w:val="20"/>
          <w:color w:val="auto"/>
        </w:rPr>
      </w:pPr>
    </w:p>
    <w:p>
      <w:pPr>
        <w:jc w:val="both"/>
        <w:ind w:left="660" w:hanging="328"/>
        <w:spacing w:after="0" w:line="255"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Third quarter Hasbro, Inc. revenue declined 15%; excluding the eOne divestiture, revenue declined 9%. Wizards of the Coast and Digital Gaming segment declined 5% due to the lap of </w:t>
      </w:r>
      <w:r>
        <w:rPr>
          <w:rFonts w:ascii="Arial" w:cs="Arial" w:eastAsia="Arial" w:hAnsi="Arial"/>
          <w:sz w:val="20"/>
          <w:szCs w:val="20"/>
          <w:i w:val="1"/>
          <w:iCs w:val="1"/>
          <w:color w:val="auto"/>
        </w:rPr>
        <w:t>Baldur's Gate 3</w:t>
      </w:r>
      <w:r>
        <w:rPr>
          <w:rFonts w:ascii="Arial" w:cs="Arial" w:eastAsia="Arial" w:hAnsi="Arial"/>
          <w:sz w:val="20"/>
          <w:szCs w:val="20"/>
          <w:color w:val="auto"/>
        </w:rPr>
        <w:t xml:space="preserve"> and Consumer Products declined 10% behind softer volume.</w:t>
      </w:r>
    </w:p>
    <w:p>
      <w:pPr>
        <w:spacing w:after="0" w:line="9" w:lineRule="exact"/>
        <w:rPr>
          <w:rFonts w:ascii="Arial" w:cs="Arial" w:eastAsia="Arial" w:hAnsi="Arial"/>
          <w:sz w:val="20"/>
          <w:szCs w:val="20"/>
          <w:color w:val="auto"/>
        </w:rPr>
      </w:pPr>
    </w:p>
    <w:p>
      <w:pPr>
        <w:ind w:left="660" w:hanging="328"/>
        <w:spacing w:after="0" w:line="267"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Operating profit of $302 million and operating margin of 23.6% includes $27 million of costs for intangible amortization associated with eOne and costs associated with the Company's transformation.</w:t>
      </w:r>
    </w:p>
    <w:p>
      <w:pPr>
        <w:spacing w:after="0" w:line="1" w:lineRule="exact"/>
        <w:rPr>
          <w:rFonts w:ascii="Arial" w:cs="Arial" w:eastAsia="Arial" w:hAnsi="Arial"/>
          <w:sz w:val="20"/>
          <w:szCs w:val="20"/>
          <w:color w:val="auto"/>
        </w:rPr>
      </w:pPr>
    </w:p>
    <w:p>
      <w:pPr>
        <w:ind w:left="660" w:hanging="328"/>
        <w:spacing w:after="0" w:line="248"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operating profit of $329 million (-$14 million vs. PY) and adjusted operating margin of 25.7% (+2.9 points vs. PY), driven by favorable business mix, supply chain productivity, and lower operating costs.</w:t>
      </w:r>
    </w:p>
    <w:p>
      <w:pPr>
        <w:spacing w:after="0" w:line="1" w:lineRule="exact"/>
        <w:rPr>
          <w:rFonts w:ascii="Arial" w:cs="Arial" w:eastAsia="Arial" w:hAnsi="Arial"/>
          <w:sz w:val="20"/>
          <w:szCs w:val="20"/>
          <w:color w:val="auto"/>
        </w:rPr>
      </w:pPr>
    </w:p>
    <w:p>
      <w:pPr>
        <w:ind w:left="660" w:hanging="328"/>
        <w:spacing w:after="0" w:line="24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0"/>
          <w:szCs w:val="20"/>
          <w:color w:val="auto"/>
        </w:rPr>
        <w:t>Delivered $87 million of net cost savings and approximately $177 million year to date; on track for full-year net savings commitment.</w:t>
      </w:r>
    </w:p>
    <w:p>
      <w:pPr>
        <w:spacing w:after="0" w:line="19" w:lineRule="exact"/>
        <w:rPr>
          <w:rFonts w:ascii="Arial" w:cs="Arial" w:eastAsia="Arial" w:hAnsi="Arial"/>
          <w:sz w:val="22"/>
          <w:szCs w:val="22"/>
          <w:color w:val="auto"/>
        </w:rPr>
      </w:pPr>
    </w:p>
    <w:p>
      <w:pPr>
        <w:ind w:left="660" w:right="20" w:hanging="328"/>
        <w:spacing w:after="0" w:line="260"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Hasbro owned inventory down 39% versus prior year, including a 40% decline in Consumer Products inventory versus the third quarter 2023.</w:t>
      </w:r>
    </w:p>
    <w:p>
      <w:pPr>
        <w:spacing w:after="0" w:line="1" w:lineRule="exact"/>
        <w:rPr>
          <w:rFonts w:ascii="Arial" w:cs="Arial" w:eastAsia="Arial" w:hAnsi="Arial"/>
          <w:sz w:val="20"/>
          <w:szCs w:val="20"/>
          <w:color w:val="auto"/>
        </w:rPr>
      </w:pPr>
    </w:p>
    <w:p>
      <w:pPr>
        <w:ind w:left="660" w:hanging="328"/>
        <w:spacing w:after="0" w:line="267"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Reported net earnings of $1.59 per diluted share; adjusted net earnings of $1.73 per diluted share benefiting from favorable business mix and improved profitability.</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Paid $98 million in cash dividends to shareholders in the quarter.</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2024 Segment Details</w:t>
      </w:r>
    </w:p>
    <w:p>
      <w:pPr>
        <w:spacing w:after="0" w:line="24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Wizards of the Coast and Digital Gaming Segment</w:t>
      </w:r>
    </w:p>
    <w:p>
      <w:pPr>
        <w:spacing w:after="0" w:line="17" w:lineRule="exact"/>
        <w:rPr>
          <w:rFonts w:ascii="Arial" w:cs="Arial" w:eastAsia="Arial" w:hAnsi="Arial"/>
          <w:sz w:val="20"/>
          <w:szCs w:val="20"/>
          <w:b w:val="1"/>
          <w:bCs w:val="1"/>
          <w:color w:val="auto"/>
        </w:rPr>
      </w:pPr>
    </w:p>
    <w:p>
      <w:pPr>
        <w:ind w:left="1300" w:right="380" w:hanging="320"/>
        <w:spacing w:after="0" w:line="239" w:lineRule="auto"/>
        <w:tabs>
          <w:tab w:leader="none" w:pos="1288" w:val="left"/>
        </w:tabs>
        <w:numPr>
          <w:ilvl w:val="1"/>
          <w:numId w:val="3"/>
        </w:numPr>
        <w:rPr>
          <w:rFonts w:ascii="Arial" w:cs="Arial" w:eastAsia="Arial" w:hAnsi="Arial"/>
          <w:sz w:val="20"/>
          <w:szCs w:val="20"/>
          <w:color w:val="auto"/>
        </w:rPr>
      </w:pPr>
      <w:r>
        <w:rPr>
          <w:rFonts w:ascii="Arial" w:cs="Arial" w:eastAsia="Arial" w:hAnsi="Arial"/>
          <w:sz w:val="20"/>
          <w:szCs w:val="20"/>
          <w:color w:val="auto"/>
        </w:rPr>
        <w:t xml:space="preserve">Revenue decreased 5% as growth in MAGIC: THE GATHERING was offset by expected declines in Licensed and Digital Gaming due to the launch of </w:t>
      </w:r>
      <w:r>
        <w:rPr>
          <w:rFonts w:ascii="Arial" w:cs="Arial" w:eastAsia="Arial" w:hAnsi="Arial"/>
          <w:sz w:val="20"/>
          <w:szCs w:val="20"/>
          <w:i w:val="1"/>
          <w:iCs w:val="1"/>
          <w:color w:val="auto"/>
        </w:rPr>
        <w:t>Baldur's Gate 3</w:t>
      </w:r>
      <w:r>
        <w:rPr>
          <w:rFonts w:ascii="Arial" w:cs="Arial" w:eastAsia="Arial" w:hAnsi="Arial"/>
          <w:sz w:val="20"/>
          <w:szCs w:val="20"/>
          <w:color w:val="auto"/>
        </w:rPr>
        <w:t xml:space="preserve"> in the third quarter 2023.</w:t>
      </w:r>
    </w:p>
    <w:p>
      <w:pPr>
        <w:spacing w:after="0" w:line="23"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MAGIC: THE GATHERING revenue increased 3% behind growth in tabletop and ARENA.</w:t>
      </w:r>
    </w:p>
    <w:p>
      <w:pPr>
        <w:spacing w:after="0" w:line="17" w:lineRule="exact"/>
        <w:rPr>
          <w:rFonts w:ascii="Arial" w:cs="Arial" w:eastAsia="Arial" w:hAnsi="Arial"/>
          <w:sz w:val="20"/>
          <w:szCs w:val="20"/>
          <w:color w:val="auto"/>
        </w:rPr>
      </w:pPr>
    </w:p>
    <w:p>
      <w:pPr>
        <w:ind w:left="1300" w:hanging="320"/>
        <w:spacing w:after="0" w:line="230" w:lineRule="auto"/>
        <w:tabs>
          <w:tab w:leader="none" w:pos="1300" w:val="left"/>
        </w:tabs>
        <w:numPr>
          <w:ilvl w:val="1"/>
          <w:numId w:val="3"/>
        </w:numPr>
        <w:rPr>
          <w:rFonts w:ascii="Arial" w:cs="Arial" w:eastAsia="Arial" w:hAnsi="Arial"/>
          <w:sz w:val="22"/>
          <w:szCs w:val="22"/>
          <w:color w:val="auto"/>
        </w:rPr>
      </w:pPr>
      <w:r>
        <w:rPr>
          <w:rFonts w:ascii="Arial" w:cs="Arial" w:eastAsia="Arial" w:hAnsi="Arial"/>
          <w:sz w:val="20"/>
          <w:szCs w:val="20"/>
          <w:i w:val="1"/>
          <w:iCs w:val="1"/>
          <w:color w:val="auto"/>
        </w:rPr>
        <w:t xml:space="preserve">Monopoly Go! </w:t>
      </w:r>
      <w:r>
        <w:rPr>
          <w:rFonts w:ascii="Arial" w:cs="Arial" w:eastAsia="Arial" w:hAnsi="Arial"/>
          <w:sz w:val="20"/>
          <w:szCs w:val="20"/>
          <w:color w:val="auto"/>
        </w:rPr>
        <w:t>contributed $30M of revenue, in line with guidance.</w:t>
      </w:r>
    </w:p>
    <w:p>
      <w:pPr>
        <w:spacing w:after="0" w:line="23" w:lineRule="exact"/>
        <w:rPr>
          <w:rFonts w:ascii="Arial" w:cs="Arial" w:eastAsia="Arial" w:hAnsi="Arial"/>
          <w:sz w:val="22"/>
          <w:szCs w:val="22"/>
          <w:color w:val="auto"/>
        </w:rPr>
      </w:pPr>
    </w:p>
    <w:p>
      <w:pPr>
        <w:ind w:left="1300" w:hanging="320"/>
        <w:spacing w:after="0" w:line="271" w:lineRule="auto"/>
        <w:tabs>
          <w:tab w:leader="none" w:pos="1288" w:val="left"/>
        </w:tabs>
        <w:numPr>
          <w:ilvl w:val="1"/>
          <w:numId w:val="3"/>
        </w:numPr>
        <w:rPr>
          <w:rFonts w:ascii="Arial" w:cs="Arial" w:eastAsia="Arial" w:hAnsi="Arial"/>
          <w:sz w:val="20"/>
          <w:szCs w:val="20"/>
          <w:color w:val="auto"/>
        </w:rPr>
      </w:pPr>
      <w:r>
        <w:rPr>
          <w:rFonts w:ascii="Arial" w:cs="Arial" w:eastAsia="Arial" w:hAnsi="Arial"/>
          <w:sz w:val="20"/>
          <w:szCs w:val="20"/>
          <w:color w:val="auto"/>
        </w:rPr>
        <w:t>Operating profit declined 11% and operating margin of 44.9%, down 3.1 points due to lower digital licensing revenue.</w:t>
      </w:r>
    </w:p>
    <w:p>
      <w:pPr>
        <w:sectPr>
          <w:pgSz w:w="11900" w:h="16838" w:orient="portrait"/>
          <w:cols w:equalWidth="0" w:num="1">
            <w:col w:w="11240"/>
          </w:cols>
          <w:pgMar w:left="320" w:top="1440" w:right="339" w:bottom="1440" w:gutter="0" w:footer="0" w:header="0"/>
        </w:sectPr>
      </w:pPr>
    </w:p>
    <w:bookmarkStart w:id="4" w:name="page5"/>
    <w:bookmarkEnd w:id="4"/>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Consumer Products Segment</w:t>
      </w:r>
    </w:p>
    <w:p>
      <w:pPr>
        <w:spacing w:after="0" w:line="67" w:lineRule="exact"/>
        <w:rPr>
          <w:rFonts w:ascii="Arial" w:cs="Arial" w:eastAsia="Arial" w:hAnsi="Arial"/>
          <w:sz w:val="20"/>
          <w:szCs w:val="20"/>
          <w:color w:val="auto"/>
        </w:rPr>
      </w:pPr>
    </w:p>
    <w:p>
      <w:pPr>
        <w:ind w:left="1300" w:hanging="320"/>
        <w:spacing w:after="0" w:line="257" w:lineRule="auto"/>
        <w:tabs>
          <w:tab w:leader="none" w:pos="1288" w:val="left"/>
        </w:tabs>
        <w:numPr>
          <w:ilvl w:val="1"/>
          <w:numId w:val="4"/>
        </w:numPr>
        <w:rPr>
          <w:rFonts w:ascii="Arial" w:cs="Arial" w:eastAsia="Arial" w:hAnsi="Arial"/>
          <w:sz w:val="20"/>
          <w:szCs w:val="20"/>
          <w:color w:val="auto"/>
        </w:rPr>
      </w:pPr>
      <w:r>
        <w:rPr>
          <w:rFonts w:ascii="Arial" w:cs="Arial" w:eastAsia="Arial" w:hAnsi="Arial"/>
          <w:sz w:val="20"/>
          <w:szCs w:val="20"/>
          <w:color w:val="auto"/>
        </w:rPr>
        <w:t>Revenue decrease of 10% driven by exited brands, reduced closeouts and softer than anticipated volume; declines partially offset by new product innovation and strength in consumer products licensing.</w:t>
      </w:r>
    </w:p>
    <w:p>
      <w:pPr>
        <w:spacing w:after="0" w:line="6" w:lineRule="exact"/>
        <w:rPr>
          <w:rFonts w:ascii="Arial" w:cs="Arial" w:eastAsia="Arial" w:hAnsi="Arial"/>
          <w:sz w:val="20"/>
          <w:szCs w:val="20"/>
          <w:color w:val="auto"/>
        </w:rPr>
      </w:pPr>
    </w:p>
    <w:p>
      <w:pPr>
        <w:ind w:left="1300" w:right="20" w:hanging="320"/>
        <w:spacing w:after="0" w:line="267" w:lineRule="auto"/>
        <w:tabs>
          <w:tab w:leader="none" w:pos="1288" w:val="left"/>
        </w:tabs>
        <w:numPr>
          <w:ilvl w:val="1"/>
          <w:numId w:val="4"/>
        </w:numPr>
        <w:rPr>
          <w:rFonts w:ascii="Arial" w:cs="Arial" w:eastAsia="Arial" w:hAnsi="Arial"/>
          <w:sz w:val="20"/>
          <w:szCs w:val="20"/>
          <w:color w:val="auto"/>
        </w:rPr>
      </w:pPr>
      <w:r>
        <w:rPr>
          <w:rFonts w:ascii="Arial" w:cs="Arial" w:eastAsia="Arial" w:hAnsi="Arial"/>
          <w:sz w:val="20"/>
          <w:szCs w:val="20"/>
          <w:color w:val="auto"/>
        </w:rPr>
        <w:t>Operating margin of 14.1% and adjusted operating margin of 15.1% (+3.9 points vs. PY) behind favorable mix, supply chain cost productivity and reduced operating expenses offsetting the volume deleverage.</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Growth in Beyblade, TRANSFORMERS and FURBY and in licensed consumer products for MY LITTLE PONY.</w:t>
      </w:r>
    </w:p>
    <w:p>
      <w:pPr>
        <w:spacing w:after="0" w:line="242"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Entertainment Segment</w:t>
      </w:r>
    </w:p>
    <w:p>
      <w:pPr>
        <w:spacing w:after="0" w:line="53" w:lineRule="exact"/>
        <w:rPr>
          <w:rFonts w:ascii="Arial" w:cs="Arial" w:eastAsia="Arial" w:hAnsi="Arial"/>
          <w:sz w:val="20"/>
          <w:szCs w:val="20"/>
          <w:color w:val="auto"/>
        </w:rPr>
      </w:pPr>
    </w:p>
    <w:p>
      <w:pPr>
        <w:ind w:left="1300" w:hanging="320"/>
        <w:spacing w:after="0" w:line="260" w:lineRule="auto"/>
        <w:tabs>
          <w:tab w:leader="none" w:pos="1288" w:val="left"/>
        </w:tabs>
        <w:numPr>
          <w:ilvl w:val="1"/>
          <w:numId w:val="4"/>
        </w:numPr>
        <w:rPr>
          <w:rFonts w:ascii="Arial" w:cs="Arial" w:eastAsia="Arial" w:hAnsi="Arial"/>
          <w:sz w:val="20"/>
          <w:szCs w:val="20"/>
          <w:color w:val="auto"/>
        </w:rPr>
      </w:pPr>
      <w:r>
        <w:rPr>
          <w:rFonts w:ascii="Arial" w:cs="Arial" w:eastAsia="Arial" w:hAnsi="Arial"/>
          <w:sz w:val="20"/>
          <w:szCs w:val="20"/>
          <w:color w:val="auto"/>
        </w:rPr>
        <w:t>Revenue decline of 86% impacted by the eOne divestiture; absent this impact, revenue declined 17% driven by the timing of the delivery of deals.</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Operating profit of $10 million compared to operating loss of $469 million in the third quarter 2023.</w:t>
      </w:r>
    </w:p>
    <w:p>
      <w:pPr>
        <w:spacing w:after="0" w:line="17" w:lineRule="exact"/>
        <w:rPr>
          <w:rFonts w:ascii="Arial" w:cs="Arial" w:eastAsia="Arial" w:hAnsi="Arial"/>
          <w:sz w:val="20"/>
          <w:szCs w:val="20"/>
          <w:color w:val="auto"/>
        </w:rPr>
      </w:pPr>
    </w:p>
    <w:p>
      <w:pPr>
        <w:ind w:left="1300" w:right="480" w:hanging="320"/>
        <w:spacing w:after="0" w:line="239" w:lineRule="auto"/>
        <w:tabs>
          <w:tab w:leader="none" w:pos="1288" w:val="left"/>
        </w:tabs>
        <w:numPr>
          <w:ilvl w:val="1"/>
          <w:numId w:val="4"/>
        </w:numPr>
        <w:rPr>
          <w:rFonts w:ascii="Arial" w:cs="Arial" w:eastAsia="Arial" w:hAnsi="Arial"/>
          <w:sz w:val="20"/>
          <w:szCs w:val="20"/>
          <w:color w:val="auto"/>
        </w:rPr>
      </w:pPr>
      <w:r>
        <w:rPr>
          <w:rFonts w:ascii="Arial" w:cs="Arial" w:eastAsia="Arial" w:hAnsi="Arial"/>
          <w:sz w:val="20"/>
          <w:szCs w:val="20"/>
          <w:color w:val="auto"/>
        </w:rPr>
        <w:t>Adjusted operating profit of $13 million compared to adjusted operating profit of $8 million in the third quarter 2023.</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Year to Date 2024 Highlights</w:t>
      </w:r>
    </w:p>
    <w:p>
      <w:pPr>
        <w:spacing w:after="0" w:line="299" w:lineRule="exact"/>
        <w:rPr>
          <w:sz w:val="20"/>
          <w:szCs w:val="20"/>
          <w:color w:val="auto"/>
        </w:rPr>
      </w:pPr>
    </w:p>
    <w:p>
      <w:pPr>
        <w:jc w:val="both"/>
        <w:ind w:left="660" w:hanging="328"/>
        <w:spacing w:after="0" w:line="248"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Year to date Hasbro revenue declined 18% driven primarily by the eOne divestiture; excluding this impact, revenue declined 8%. Growth of 7% in the Wizards of the Coast and Digital Gaming segment was offset by declines in Consumer Products (-16%) and Entertainment (-87%, or +1% excluding the eOne divestiture).</w:t>
      </w:r>
    </w:p>
    <w:p>
      <w:pPr>
        <w:spacing w:after="0" w:line="16" w:lineRule="exact"/>
        <w:rPr>
          <w:rFonts w:ascii="Arial" w:cs="Arial" w:eastAsia="Arial" w:hAnsi="Arial"/>
          <w:sz w:val="20"/>
          <w:szCs w:val="20"/>
          <w:color w:val="auto"/>
        </w:rPr>
      </w:pPr>
    </w:p>
    <w:p>
      <w:pPr>
        <w:ind w:left="660" w:hanging="328"/>
        <w:spacing w:after="0" w:line="267"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Operating profit of $630 million and operating margin of 20.8% includes $96 million of costs for intangible amortization associated with eOne, loss on disposal of business and costs associated with the Company's transformation.</w:t>
      </w:r>
    </w:p>
    <w:p>
      <w:pPr>
        <w:spacing w:after="0" w:line="1" w:lineRule="exact"/>
        <w:rPr>
          <w:rFonts w:ascii="Arial" w:cs="Arial" w:eastAsia="Arial" w:hAnsi="Arial"/>
          <w:sz w:val="20"/>
          <w:szCs w:val="20"/>
          <w:color w:val="auto"/>
        </w:rPr>
      </w:pPr>
    </w:p>
    <w:p>
      <w:pPr>
        <w:ind w:left="660" w:hanging="328"/>
        <w:spacing w:after="0" w:line="267"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operating profit of $726 million (+$200 million vs. PY) and adjusted operating margin of 23.9% (+9.8 points vs. PY), driven by favorable business mix, lower royalty expense, supply chain productivity and lower operating costs.</w:t>
      </w:r>
    </w:p>
    <w:p>
      <w:pPr>
        <w:spacing w:after="0" w:line="1" w:lineRule="exact"/>
        <w:rPr>
          <w:rFonts w:ascii="Arial" w:cs="Arial" w:eastAsia="Arial" w:hAnsi="Arial"/>
          <w:sz w:val="20"/>
          <w:szCs w:val="20"/>
          <w:color w:val="auto"/>
        </w:rPr>
      </w:pPr>
    </w:p>
    <w:p>
      <w:pPr>
        <w:ind w:left="660" w:right="20" w:hanging="328"/>
        <w:spacing w:after="0" w:line="248"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Reported net earnings of $3.00 per diluted share; adjusted net earnings of $3.56 per diluted share benefiting from improved operations and business mix.</w:t>
      </w:r>
    </w:p>
    <w:p>
      <w:pPr>
        <w:spacing w:after="0" w:line="1" w:lineRule="exact"/>
        <w:rPr>
          <w:rFonts w:ascii="Arial" w:cs="Arial" w:eastAsia="Arial" w:hAnsi="Arial"/>
          <w:sz w:val="20"/>
          <w:szCs w:val="20"/>
          <w:color w:val="auto"/>
        </w:rPr>
      </w:pPr>
    </w:p>
    <w:p>
      <w:pPr>
        <w:ind w:left="660" w:right="880" w:hanging="328"/>
        <w:spacing w:after="0" w:line="243"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0"/>
          <w:szCs w:val="20"/>
          <w:color w:val="auto"/>
        </w:rPr>
        <w:t>Operating cash flow of $588 million vs. $335 million in the prior year driven by the profitability improvement and favorability from working capital.</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Year to Date 2024 Segment Details</w:t>
      </w:r>
    </w:p>
    <w:p>
      <w:pPr>
        <w:spacing w:after="0" w:line="29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b w:val="1"/>
          <w:bCs w:val="1"/>
          <w:color w:val="auto"/>
        </w:rPr>
      </w:pPr>
      <w:r>
        <w:rPr>
          <w:rFonts w:ascii="Arial" w:cs="Arial" w:eastAsia="Arial" w:hAnsi="Arial"/>
          <w:sz w:val="20"/>
          <w:szCs w:val="20"/>
          <w:color w:val="auto"/>
        </w:rPr>
        <w:t>Wizards of the Coast and Digital Gaming Segment</w:t>
      </w:r>
    </w:p>
    <w:p>
      <w:pPr>
        <w:spacing w:after="0" w:line="44" w:lineRule="exact"/>
        <w:rPr>
          <w:rFonts w:ascii="Arial" w:cs="Arial" w:eastAsia="Arial" w:hAnsi="Arial"/>
          <w:sz w:val="22"/>
          <w:szCs w:val="22"/>
          <w:b w:val="1"/>
          <w:bCs w:val="1"/>
          <w:color w:val="auto"/>
        </w:rPr>
      </w:pPr>
    </w:p>
    <w:p>
      <w:pPr>
        <w:ind w:left="1300" w:hanging="320"/>
        <w:spacing w:after="0" w:line="267" w:lineRule="auto"/>
        <w:tabs>
          <w:tab w:leader="none" w:pos="1288" w:val="left"/>
        </w:tabs>
        <w:numPr>
          <w:ilvl w:val="1"/>
          <w:numId w:val="6"/>
        </w:numPr>
        <w:rPr>
          <w:rFonts w:ascii="Arial" w:cs="Arial" w:eastAsia="Arial" w:hAnsi="Arial"/>
          <w:sz w:val="20"/>
          <w:szCs w:val="20"/>
          <w:color w:val="auto"/>
        </w:rPr>
      </w:pPr>
      <w:r>
        <w:rPr>
          <w:rFonts w:ascii="Arial" w:cs="Arial" w:eastAsia="Arial" w:hAnsi="Arial"/>
          <w:sz w:val="20"/>
          <w:szCs w:val="20"/>
          <w:color w:val="auto"/>
        </w:rPr>
        <w:t>Revenue increase of 7% driven by growth in MAGIC: THE GATHERING and strength in Licensed and Digital Gaming.</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6"/>
        </w:numPr>
        <w:rPr>
          <w:rFonts w:ascii="Arial" w:cs="Arial" w:eastAsia="Arial" w:hAnsi="Arial"/>
          <w:sz w:val="20"/>
          <w:szCs w:val="20"/>
          <w:color w:val="auto"/>
        </w:rPr>
      </w:pPr>
      <w:r>
        <w:rPr>
          <w:rFonts w:ascii="Arial" w:cs="Arial" w:eastAsia="Arial" w:hAnsi="Arial"/>
          <w:sz w:val="20"/>
          <w:szCs w:val="20"/>
          <w:color w:val="auto"/>
        </w:rPr>
        <w:t>Tabletop revenue increased 3% behind growth in MAGIC: THE GATHERING.</w:t>
      </w:r>
    </w:p>
    <w:p>
      <w:pPr>
        <w:spacing w:after="0" w:line="40" w:lineRule="exact"/>
        <w:rPr>
          <w:rFonts w:ascii="Arial" w:cs="Arial" w:eastAsia="Arial" w:hAnsi="Arial"/>
          <w:sz w:val="20"/>
          <w:szCs w:val="20"/>
          <w:color w:val="auto"/>
        </w:rPr>
      </w:pPr>
    </w:p>
    <w:p>
      <w:pPr>
        <w:ind w:left="1300" w:hanging="320"/>
        <w:spacing w:after="0"/>
        <w:tabs>
          <w:tab w:leader="none" w:pos="1300" w:val="left"/>
        </w:tabs>
        <w:numPr>
          <w:ilvl w:val="1"/>
          <w:numId w:val="6"/>
        </w:numPr>
        <w:rPr>
          <w:rFonts w:ascii="Arial" w:cs="Arial" w:eastAsia="Arial" w:hAnsi="Arial"/>
          <w:sz w:val="20"/>
          <w:szCs w:val="20"/>
          <w:color w:val="auto"/>
        </w:rPr>
      </w:pPr>
      <w:r>
        <w:rPr>
          <w:rFonts w:ascii="Arial" w:cs="Arial" w:eastAsia="Arial" w:hAnsi="Arial"/>
          <w:sz w:val="20"/>
          <w:szCs w:val="20"/>
          <w:color w:val="auto"/>
        </w:rPr>
        <w:t>Monopoly Go! contributed $74 million year to date.</w:t>
      </w:r>
    </w:p>
    <w:p>
      <w:pPr>
        <w:spacing w:after="0" w:line="40" w:lineRule="exact"/>
        <w:rPr>
          <w:rFonts w:ascii="Arial" w:cs="Arial" w:eastAsia="Arial" w:hAnsi="Arial"/>
          <w:sz w:val="20"/>
          <w:szCs w:val="20"/>
          <w:color w:val="auto"/>
        </w:rPr>
      </w:pPr>
    </w:p>
    <w:p>
      <w:pPr>
        <w:ind w:left="1300" w:hanging="320"/>
        <w:spacing w:after="0" w:line="271" w:lineRule="auto"/>
        <w:tabs>
          <w:tab w:leader="none" w:pos="1288" w:val="left"/>
        </w:tabs>
        <w:numPr>
          <w:ilvl w:val="1"/>
          <w:numId w:val="6"/>
        </w:numPr>
        <w:rPr>
          <w:rFonts w:ascii="Arial" w:cs="Arial" w:eastAsia="Arial" w:hAnsi="Arial"/>
          <w:sz w:val="20"/>
          <w:szCs w:val="20"/>
          <w:color w:val="auto"/>
        </w:rPr>
      </w:pPr>
      <w:r>
        <w:rPr>
          <w:rFonts w:ascii="Arial" w:cs="Arial" w:eastAsia="Arial" w:hAnsi="Arial"/>
          <w:sz w:val="20"/>
          <w:szCs w:val="20"/>
          <w:color w:val="auto"/>
        </w:rPr>
        <w:t>Operating profit increased 30% and operating margin of 47.0% due to higher digital licensing revenue mix of revenues and lower expenses, including royalties.</w:t>
      </w:r>
    </w:p>
    <w:p>
      <w:pPr>
        <w:spacing w:after="0" w:line="236"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Consumer Products Segment</w:t>
      </w:r>
    </w:p>
    <w:p>
      <w:pPr>
        <w:spacing w:after="0" w:line="53" w:lineRule="exact"/>
        <w:rPr>
          <w:rFonts w:ascii="Arial" w:cs="Arial" w:eastAsia="Arial" w:hAnsi="Arial"/>
          <w:sz w:val="20"/>
          <w:szCs w:val="20"/>
          <w:color w:val="auto"/>
        </w:rPr>
      </w:pPr>
    </w:p>
    <w:p>
      <w:pPr>
        <w:ind w:left="1300" w:hanging="320"/>
        <w:spacing w:after="0" w:line="271" w:lineRule="auto"/>
        <w:tabs>
          <w:tab w:leader="none" w:pos="1288" w:val="left"/>
        </w:tabs>
        <w:numPr>
          <w:ilvl w:val="1"/>
          <w:numId w:val="6"/>
        </w:numPr>
        <w:rPr>
          <w:rFonts w:ascii="Arial" w:cs="Arial" w:eastAsia="Arial" w:hAnsi="Arial"/>
          <w:sz w:val="20"/>
          <w:szCs w:val="20"/>
          <w:color w:val="auto"/>
        </w:rPr>
      </w:pPr>
      <w:r>
        <w:rPr>
          <w:rFonts w:ascii="Arial" w:cs="Arial" w:eastAsia="Arial" w:hAnsi="Arial"/>
          <w:sz w:val="20"/>
          <w:szCs w:val="20"/>
          <w:color w:val="auto"/>
        </w:rPr>
        <w:t>Revenue decrease of 16% driven by exited brands, reduced closeouts, and softer than anticipated volume offsetting growth in licensed consumer products.</w:t>
      </w:r>
    </w:p>
    <w:p>
      <w:pPr>
        <w:sectPr>
          <w:pgSz w:w="11900" w:h="16838" w:orient="portrait"/>
          <w:cols w:equalWidth="0" w:num="1">
            <w:col w:w="11240"/>
          </w:cols>
          <w:pgMar w:left="320" w:top="1130" w:right="339" w:bottom="1440" w:gutter="0" w:footer="0" w:header="0"/>
        </w:sectPr>
      </w:pPr>
    </w:p>
    <w:bookmarkStart w:id="5" w:name="page6"/>
    <w:bookmarkEnd w:id="5"/>
    <w:p>
      <w:pPr>
        <w:ind w:left="1300" w:hanging="320"/>
        <w:spacing w:after="0" w:line="271" w:lineRule="auto"/>
        <w:tabs>
          <w:tab w:leader="none" w:pos="1288" w:val="left"/>
        </w:tabs>
        <w:numPr>
          <w:ilvl w:val="1"/>
          <w:numId w:val="7"/>
        </w:numPr>
        <w:rPr>
          <w:rFonts w:ascii="Arial" w:cs="Arial" w:eastAsia="Arial" w:hAnsi="Arial"/>
          <w:sz w:val="20"/>
          <w:szCs w:val="20"/>
          <w:color w:val="auto"/>
        </w:rPr>
      </w:pPr>
      <w:r>
        <w:rPr>
          <w:rFonts w:ascii="Arial" w:cs="Arial" w:eastAsia="Arial" w:hAnsi="Arial"/>
          <w:sz w:val="20"/>
          <w:szCs w:val="20"/>
          <w:color w:val="auto"/>
        </w:rPr>
        <w:t>Operating margin of 3.6% and adjusted operating margin of 5.1% driven by favorable licensing mix, cost savings and productivity gains.</w:t>
      </w:r>
    </w:p>
    <w:p>
      <w:pPr>
        <w:spacing w:after="0" w:line="304"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0"/>
          <w:szCs w:val="20"/>
          <w:color w:val="auto"/>
        </w:rPr>
        <w:t>Entertainment Segment</w:t>
      </w:r>
    </w:p>
    <w:p>
      <w:pPr>
        <w:spacing w:after="0" w:line="30" w:lineRule="exact"/>
        <w:rPr>
          <w:rFonts w:ascii="Arial" w:cs="Arial" w:eastAsia="Arial" w:hAnsi="Arial"/>
          <w:sz w:val="22"/>
          <w:szCs w:val="22"/>
          <w:color w:val="auto"/>
        </w:rPr>
      </w:pPr>
    </w:p>
    <w:p>
      <w:pPr>
        <w:ind w:left="1300" w:hanging="320"/>
        <w:spacing w:after="0" w:line="267" w:lineRule="auto"/>
        <w:tabs>
          <w:tab w:leader="none" w:pos="1288" w:val="left"/>
        </w:tabs>
        <w:numPr>
          <w:ilvl w:val="1"/>
          <w:numId w:val="7"/>
        </w:numPr>
        <w:rPr>
          <w:rFonts w:ascii="Arial" w:cs="Arial" w:eastAsia="Arial" w:hAnsi="Arial"/>
          <w:sz w:val="20"/>
          <w:szCs w:val="20"/>
          <w:color w:val="auto"/>
        </w:rPr>
      </w:pPr>
      <w:r>
        <w:rPr>
          <w:rFonts w:ascii="Arial" w:cs="Arial" w:eastAsia="Arial" w:hAnsi="Arial"/>
          <w:sz w:val="20"/>
          <w:szCs w:val="20"/>
          <w:color w:val="auto"/>
        </w:rPr>
        <w:t>Revenue decline of 87% impacted by the sale of eOne divestiture; absent this impact, revenue increased 1% driven by the timing of the delivery of deals.</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Operating profit of $15 million compared to operating loss of $801 million year to date 2023.</w:t>
      </w:r>
    </w:p>
    <w:p>
      <w:pPr>
        <w:spacing w:after="0" w:line="40" w:lineRule="exact"/>
        <w:rPr>
          <w:rFonts w:ascii="Arial" w:cs="Arial" w:eastAsia="Arial" w:hAnsi="Arial"/>
          <w:sz w:val="20"/>
          <w:szCs w:val="20"/>
          <w:color w:val="auto"/>
        </w:rPr>
      </w:pPr>
    </w:p>
    <w:p>
      <w:pPr>
        <w:ind w:left="1300" w:hanging="320"/>
        <w:spacing w:after="0"/>
        <w:tabs>
          <w:tab w:leader="none" w:pos="1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Adjusted operating profit of $49 million compared to adjusted operating loss of $15 million year to date 2023.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financial tables accompanying the press release for a reconciliation of GAAP to non-GAAP financial measures.</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Company Outlook</w:t>
      </w:r>
      <w:r>
        <w:rPr>
          <w:rFonts w:ascii="Arial" w:cs="Arial" w:eastAsia="Arial" w:hAnsi="Arial"/>
          <w:sz w:val="11"/>
          <w:szCs w:val="11"/>
          <w:b w:val="1"/>
          <w:bCs w:val="1"/>
          <w:color w:val="auto"/>
        </w:rPr>
        <w:t>1</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For the full year, the Company now expects:</w:t>
      </w:r>
    </w:p>
    <w:p>
      <w:pPr>
        <w:spacing w:after="0" w:line="29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0"/>
          <w:szCs w:val="20"/>
          <w:color w:val="auto"/>
        </w:rPr>
        <w:t>Consumer Products Segment revenue down 12% to 14%; Adjusted operating margin 4% to 6%.</w:t>
      </w:r>
    </w:p>
    <w:p>
      <w:pPr>
        <w:spacing w:after="0" w:line="8"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0"/>
          <w:szCs w:val="20"/>
          <w:color w:val="auto"/>
        </w:rPr>
        <w:t>Wizards of the Coast and Digital Gaming Segment revenue flat to down 1%; Operating margin of approximately 42%.</w:t>
      </w:r>
    </w:p>
    <w:p>
      <w:pPr>
        <w:ind w:left="660" w:hanging="328"/>
        <w:spacing w:after="0" w:line="230" w:lineRule="auto"/>
        <w:tabs>
          <w:tab w:leader="none" w:pos="6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0"/>
          <w:szCs w:val="20"/>
          <w:color w:val="auto"/>
        </w:rPr>
        <w:t>Pro-Forma Entertainment segment revenue down $15 million; Adjusted operating margin of approximately 60%.</w:t>
      </w:r>
    </w:p>
    <w:p>
      <w:pPr>
        <w:ind w:left="660" w:hanging="328"/>
        <w:spacing w:after="0" w:line="217" w:lineRule="auto"/>
        <w:tabs>
          <w:tab w:leader="none" w:pos="6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0"/>
          <w:szCs w:val="20"/>
          <w:color w:val="auto"/>
        </w:rPr>
        <w:t>Total Hasbro Adjusted EBITDA of $975 million to $1.025 billion.</w:t>
      </w:r>
    </w:p>
    <w:p>
      <w:pPr>
        <w:ind w:left="660" w:hanging="328"/>
        <w:spacing w:after="0" w:line="230" w:lineRule="auto"/>
        <w:tabs>
          <w:tab w:leader="none" w:pos="6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0"/>
          <w:szCs w:val="20"/>
          <w:color w:val="auto"/>
        </w:rPr>
        <w:t>Gross savings target of $750 million by year end 2025.</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2024 Capital Allocation priorities:</w:t>
      </w:r>
    </w:p>
    <w:p>
      <w:pPr>
        <w:spacing w:after="0" w:line="25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20"/>
          <w:szCs w:val="20"/>
          <w:color w:val="auto"/>
        </w:rPr>
        <w:t>Invest in core business.</w:t>
      </w:r>
    </w:p>
    <w:p>
      <w:pPr>
        <w:spacing w:after="0" w:line="8"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Times New Roman" w:cs="Times New Roman" w:eastAsia="Times New Roman" w:hAnsi="Times New Roman"/>
          <w:sz w:val="22"/>
          <w:szCs w:val="22"/>
          <w:color w:val="auto"/>
        </w:rPr>
      </w:pPr>
      <w:r>
        <w:rPr>
          <w:rFonts w:ascii="Arial" w:cs="Arial" w:eastAsia="Arial" w:hAnsi="Arial"/>
          <w:sz w:val="20"/>
          <w:szCs w:val="20"/>
          <w:color w:val="auto"/>
        </w:rPr>
        <w:t>Return cash to shareholders through the dividend.</w:t>
      </w: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Continue to pay down debt and progress towards leverage target.</w:t>
      </w:r>
    </w:p>
    <w:p>
      <w:pPr>
        <w:spacing w:after="0" w:line="202" w:lineRule="exact"/>
        <w:rPr>
          <w:sz w:val="20"/>
          <w:szCs w:val="20"/>
          <w:color w:val="auto"/>
        </w:rPr>
      </w:pPr>
    </w:p>
    <w:p>
      <w:pPr>
        <w:jc w:val="both"/>
        <w:spacing w:after="0" w:line="217" w:lineRule="auto"/>
        <w:rPr>
          <w:sz w:val="20"/>
          <w:szCs w:val="20"/>
          <w:color w:val="auto"/>
        </w:rPr>
      </w:pP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The Company is not able to reconcile its forward-looking non-GAAP adjusted operating margin and adjusted EBITDA measures because the Company cannot predict with certainty the timing and amounts of discrete items such as charges associated with its cost-savings program, which could impact GAAP results.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Dividend Announcement</w:t>
      </w:r>
    </w:p>
    <w:p>
      <w:pPr>
        <w:spacing w:after="0" w:line="20"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During the third quarter, the Company paid $98 million in cash dividends to shareholders. The Board of Directors has declared a quarterly cash dividend of $0.70 per common share payable on December 4, 2024, to shareholders of record at the close of business on November 20, 2024.</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 Webcast</w:t>
      </w:r>
    </w:p>
    <w:p>
      <w:pPr>
        <w:spacing w:after="0" w:line="28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Hasbro will webcast its third quarter 2024 earnings conference call at 8:30 a.m. Eastern Time today. To listen to the live webcast and access the accompanying presentation slides, please go to https://investor.hasbro.com. The replay of the call will be available on Hasbro’s website approximately 2 hours following completion of the call</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Hasbro</w:t>
      </w:r>
    </w:p>
    <w:p>
      <w:pPr>
        <w:spacing w:after="0" w:line="6" w:lineRule="exact"/>
        <w:rPr>
          <w:sz w:val="20"/>
          <w:szCs w:val="20"/>
          <w:color w:val="auto"/>
        </w:rPr>
      </w:pPr>
    </w:p>
    <w:p>
      <w:pPr>
        <w:jc w:val="both"/>
        <w:ind w:right="200"/>
        <w:spacing w:after="0" w:line="239" w:lineRule="auto"/>
        <w:rPr>
          <w:sz w:val="20"/>
          <w:szCs w:val="20"/>
          <w:color w:val="auto"/>
        </w:rPr>
      </w:pPr>
      <w:r>
        <w:rPr>
          <w:rFonts w:ascii="Arial" w:cs="Arial" w:eastAsia="Arial" w:hAnsi="Arial"/>
          <w:sz w:val="20"/>
          <w:szCs w:val="20"/>
          <w:color w:val="auto"/>
        </w:rPr>
        <w:t>Hasbro is a leading toy and game company whose mission is to entertain and connect generations of fans through the wonder of storytelling and the exhilaration of play. Hasbro delivers play experiences for fans of all ages around the world through toys, games, licensed consumer products, digital games and</w:t>
      </w:r>
    </w:p>
    <w:p>
      <w:pPr>
        <w:sectPr>
          <w:pgSz w:w="11900" w:h="16838" w:orient="portrait"/>
          <w:cols w:equalWidth="0" w:num="1">
            <w:col w:w="11240"/>
          </w:cols>
          <w:pgMar w:left="320" w:top="941" w:right="339" w:bottom="1440" w:gutter="0" w:footer="0" w:header="0"/>
        </w:sectPr>
      </w:pPr>
    </w:p>
    <w:bookmarkStart w:id="6" w:name="page7"/>
    <w:bookmarkEnd w:id="6"/>
    <w:p>
      <w:pPr>
        <w:jc w:val="both"/>
        <w:ind w:right="140"/>
        <w:spacing w:after="0" w:line="248" w:lineRule="auto"/>
        <w:rPr>
          <w:sz w:val="20"/>
          <w:szCs w:val="20"/>
          <w:color w:val="auto"/>
        </w:rPr>
      </w:pPr>
      <w:r>
        <w:rPr>
          <w:rFonts w:ascii="Arial" w:cs="Arial" w:eastAsia="Arial" w:hAnsi="Arial"/>
          <w:sz w:val="20"/>
          <w:szCs w:val="20"/>
          <w:color w:val="auto"/>
        </w:rPr>
        <w:t>services, location-based entertainment, film, TV, and more. With a portfolio of over 1,800 iconic brands including MAGIC: THE GATHERING, DUNGEONS &amp; DRAGONS, Hasbro Gaming, NERF, TRANSFORMERS, PLAY-DOH and PEPPA PIG, as well as premier partner brands, Hasbro brings fans together wherever they are, from tabletop to screen.  </w:t>
      </w:r>
    </w:p>
    <w:p>
      <w:pPr>
        <w:spacing w:after="0" w:line="192" w:lineRule="exact"/>
        <w:rPr>
          <w:sz w:val="20"/>
          <w:szCs w:val="20"/>
          <w:color w:val="auto"/>
        </w:rPr>
      </w:pPr>
    </w:p>
    <w:p>
      <w:pPr>
        <w:ind w:right="20"/>
        <w:spacing w:after="0"/>
        <w:rPr>
          <w:sz w:val="20"/>
          <w:szCs w:val="20"/>
          <w:color w:val="auto"/>
        </w:rPr>
      </w:pPr>
      <w:r>
        <w:rPr>
          <w:rFonts w:ascii="Arial" w:cs="Arial" w:eastAsia="Arial" w:hAnsi="Arial"/>
          <w:sz w:val="20"/>
          <w:szCs w:val="20"/>
          <w:color w:val="auto"/>
        </w:rPr>
        <w:t xml:space="preserve">Hasbro is guided by our Purpose to create joy and community for all people around the world, one game, one toy, one story at a time. For more than a decade, Hasbro has been consistently recognized for its corporate citizenship, including being named one of the 100 Best Corporate Citizens by 3BL Media, one of the World’s Most Ethical Companies by Ethisphere Institute, and one of the 50 Most Community-Minded Companies in the U.S. by the Civic 50. For more information, visit </w:t>
      </w:r>
      <w:r>
        <w:rPr>
          <w:rFonts w:ascii="Arial" w:cs="Arial" w:eastAsia="Arial" w:hAnsi="Arial"/>
          <w:sz w:val="20"/>
          <w:szCs w:val="20"/>
          <w:color w:val="005EB8"/>
        </w:rPr>
        <w:t xml:space="preserve">https://corporate.hasbro.com </w:t>
      </w:r>
      <w:r>
        <w:rPr>
          <w:rFonts w:ascii="Arial" w:cs="Arial" w:eastAsia="Arial" w:hAnsi="Arial"/>
          <w:sz w:val="20"/>
          <w:szCs w:val="20"/>
          <w:color w:val="000000"/>
        </w:rPr>
        <w:t>or @Hasbro on LinkedIn.  </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2024 Hasbro, Inc. All Rights Reserved.</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212529"/>
        </w:rPr>
        <w:t>Forward Looking Statement Safe Harbor</w:t>
      </w:r>
    </w:p>
    <w:p>
      <w:pPr>
        <w:spacing w:after="0" w:line="15" w:lineRule="exact"/>
        <w:rPr>
          <w:sz w:val="20"/>
          <w:szCs w:val="20"/>
          <w:color w:val="auto"/>
        </w:rPr>
      </w:pPr>
    </w:p>
    <w:p>
      <w:pPr>
        <w:jc w:val="both"/>
        <w:ind w:right="600"/>
        <w:spacing w:after="0" w:line="229" w:lineRule="auto"/>
        <w:rPr>
          <w:sz w:val="20"/>
          <w:szCs w:val="20"/>
          <w:color w:val="auto"/>
        </w:rPr>
      </w:pPr>
      <w:r>
        <w:rPr>
          <w:rFonts w:ascii="Arial" w:cs="Arial" w:eastAsia="Arial" w:hAnsi="Arial"/>
          <w:sz w:val="19"/>
          <w:szCs w:val="19"/>
          <w:color w:val="auto"/>
        </w:rPr>
        <w:t>Certain statements in this press release contain “forward-looking statements” within the meaning of the Private Securities Litigation Reform Act of 1995. These statements, which may be identified by the use of forward-looking words or phrases,</w:t>
      </w:r>
    </w:p>
    <w:p>
      <w:pPr>
        <w:spacing w:after="0" w:line="227" w:lineRule="auto"/>
        <w:rPr>
          <w:sz w:val="20"/>
          <w:szCs w:val="20"/>
          <w:color w:val="auto"/>
        </w:rPr>
      </w:pPr>
      <w:r>
        <w:rPr>
          <w:rFonts w:ascii="Arial" w:cs="Arial" w:eastAsia="Arial" w:hAnsi="Arial"/>
          <w:sz w:val="20"/>
          <w:szCs w:val="20"/>
          <w:color w:val="auto"/>
        </w:rPr>
        <w:t>include statements relating to our business strategies and plans; expectations relating to products, gaming and entertainment;</w:t>
      </w:r>
    </w:p>
    <w:p>
      <w:pPr>
        <w:ind w:right="140"/>
        <w:spacing w:after="0" w:line="229" w:lineRule="auto"/>
        <w:rPr>
          <w:sz w:val="20"/>
          <w:szCs w:val="20"/>
          <w:color w:val="auto"/>
        </w:rPr>
      </w:pPr>
      <w:r>
        <w:rPr>
          <w:rFonts w:ascii="Arial" w:cs="Arial" w:eastAsia="Arial" w:hAnsi="Arial"/>
          <w:sz w:val="19"/>
          <w:szCs w:val="19"/>
          <w:color w:val="auto"/>
        </w:rPr>
        <w:t>anticipated cost savings; and financial targets and guidance. Our actual actions or results may differ materially from those expected or anticipated in the forward-looking statements due to both known and unknown risks and uncertainties. Factors that</w:t>
      </w:r>
    </w:p>
    <w:p>
      <w:pPr>
        <w:spacing w:after="0" w:line="227" w:lineRule="auto"/>
        <w:rPr>
          <w:sz w:val="20"/>
          <w:szCs w:val="20"/>
          <w:color w:val="auto"/>
        </w:rPr>
      </w:pPr>
      <w:r>
        <w:rPr>
          <w:rFonts w:ascii="Arial" w:cs="Arial" w:eastAsia="Arial" w:hAnsi="Arial"/>
          <w:sz w:val="20"/>
          <w:szCs w:val="20"/>
          <w:color w:val="auto"/>
        </w:rPr>
        <w:t>might cause such a difference include, but are not limited to:</w:t>
      </w:r>
    </w:p>
    <w:p>
      <w:pPr>
        <w:ind w:left="640" w:hanging="308"/>
        <w:spacing w:after="0" w:line="211"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our ability to successfully execute on our business strategy and transformation initiatives;</w:t>
      </w:r>
    </w:p>
    <w:p>
      <w:pPr>
        <w:ind w:left="660" w:right="420" w:hanging="328"/>
        <w:spacing w:after="0" w:line="225"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our ability to successfully compete in the play industry and further develop our digital gaming, licensing business and partnerships;</w:t>
      </w:r>
    </w:p>
    <w:p>
      <w:pPr>
        <w:ind w:left="660" w:right="520" w:hanging="328"/>
        <w:spacing w:after="0" w:line="218"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our ability to transform our business and capabilities to address the changing global consumer landscape, including evolving demographics for our products and advancements in technology;</w:t>
      </w:r>
    </w:p>
    <w:p>
      <w:pPr>
        <w:ind w:left="640" w:hanging="308"/>
        <w:spacing w:after="0" w:line="225"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our ability to design, develop, manufacture, and ship products on a timely, cost-effective and profitable basis;</w:t>
      </w:r>
    </w:p>
    <w:p>
      <w:pPr>
        <w:ind w:left="660" w:right="160" w:hanging="328"/>
        <w:spacing w:after="0" w:line="218"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concentration of our customers, potentially increasing the negative impact to our business of difficulties experienced by any of our customers or changes in their purchasing or selling patterns;</w:t>
      </w:r>
    </w:p>
    <w:p>
      <w:pPr>
        <w:jc w:val="both"/>
        <w:ind w:left="660" w:right="160" w:hanging="328"/>
        <w:spacing w:after="0" w:line="232" w:lineRule="auto"/>
        <w:tabs>
          <w:tab w:leader="none" w:pos="648" w:val="left"/>
        </w:tabs>
        <w:numPr>
          <w:ilvl w:val="0"/>
          <w:numId w:val="10"/>
        </w:numPr>
        <w:rPr>
          <w:rFonts w:ascii="Arial" w:cs="Arial" w:eastAsia="Arial" w:hAnsi="Arial"/>
          <w:sz w:val="19"/>
          <w:szCs w:val="19"/>
          <w:color w:val="auto"/>
        </w:rPr>
      </w:pPr>
      <w:r>
        <w:rPr>
          <w:rFonts w:ascii="Arial" w:cs="Arial" w:eastAsia="Arial" w:hAnsi="Arial"/>
          <w:sz w:val="19"/>
          <w:szCs w:val="19"/>
          <w:color w:val="auto"/>
        </w:rPr>
        <w:t>uncertain and unpredictable global and regional economic conditions impacting one or more of the markets in which we sell products, which can negatively impact our customers and consumers, result in lower employment levels, consumer disposable income, retailer inventories and spending, including lower spending on purchases of our products;</w:t>
      </w:r>
    </w:p>
    <w:p>
      <w:pPr>
        <w:ind w:left="660" w:hanging="328"/>
        <w:spacing w:after="0" w:line="222"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risks related to political, economic and public health conditions or regulatory changes in the markets in which we and our customers, partners, licensees, suppliers and manufacturers operate, such as inflation, rising interest rates, tariffs, higher commodity prices, labor strikes, labor costs or transportation costs, or outbreaks of illness or disease, the occurrence of which could create work slowdowns, delays or shortages in production or shipment of products, increases in costs or delays in revenue;</w:t>
      </w:r>
    </w:p>
    <w:p>
      <w:pPr>
        <w:spacing w:after="0" w:line="2" w:lineRule="exact"/>
        <w:rPr>
          <w:rFonts w:ascii="Arial" w:cs="Arial" w:eastAsia="Arial" w:hAnsi="Arial"/>
          <w:sz w:val="20"/>
          <w:szCs w:val="20"/>
          <w:color w:val="auto"/>
        </w:rPr>
      </w:pPr>
    </w:p>
    <w:p>
      <w:pPr>
        <w:ind w:left="660" w:right="540" w:hanging="328"/>
        <w:spacing w:after="0" w:line="229" w:lineRule="auto"/>
        <w:tabs>
          <w:tab w:leader="none" w:pos="648" w:val="left"/>
        </w:tabs>
        <w:numPr>
          <w:ilvl w:val="0"/>
          <w:numId w:val="10"/>
        </w:numPr>
        <w:rPr>
          <w:rFonts w:ascii="Arial" w:cs="Arial" w:eastAsia="Arial" w:hAnsi="Arial"/>
          <w:sz w:val="19"/>
          <w:szCs w:val="19"/>
          <w:color w:val="auto"/>
        </w:rPr>
      </w:pPr>
      <w:r>
        <w:rPr>
          <w:rFonts w:ascii="Arial" w:cs="Arial" w:eastAsia="Arial" w:hAnsi="Arial"/>
          <w:sz w:val="19"/>
          <w:szCs w:val="19"/>
          <w:color w:val="auto"/>
        </w:rPr>
        <w:t>our dependence on third party relationships, including with third party partners, manufacturers, distributors, studios, content producers, licensors, licensees, and outsourcers, which creates reliance on others and loss of control;</w:t>
      </w:r>
    </w:p>
    <w:p>
      <w:pPr>
        <w:spacing w:after="0" w:line="1" w:lineRule="exact"/>
        <w:rPr>
          <w:rFonts w:ascii="Arial" w:cs="Arial" w:eastAsia="Arial" w:hAnsi="Arial"/>
          <w:sz w:val="19"/>
          <w:szCs w:val="19"/>
          <w:color w:val="auto"/>
        </w:rPr>
      </w:pPr>
    </w:p>
    <w:p>
      <w:pPr>
        <w:ind w:left="660" w:right="280" w:hanging="328"/>
        <w:spacing w:after="0" w:line="225"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risks relating to the concentration of manufacturing for many of our products in the People’s Republic of China and our ability to successfully diversify sourcing of our products to reduce reliance on sources of supply in China;</w:t>
      </w:r>
    </w:p>
    <w:p>
      <w:pPr>
        <w:ind w:left="660" w:right="100" w:hanging="328"/>
        <w:spacing w:after="0" w:line="220"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risks associated with international operations, such as conflict in territories in which we operate, currency conversion, currency fluctuations, the imposition or threat of tariffs, quotas, shipping delays or difficulties, border adjustment taxes or other protectionist measures, and other challenges in the territories in which we operate;</w:t>
      </w:r>
    </w:p>
    <w:p>
      <w:pPr>
        <w:spacing w:after="0" w:line="2" w:lineRule="exact"/>
        <w:rPr>
          <w:rFonts w:ascii="Arial" w:cs="Arial" w:eastAsia="Arial" w:hAnsi="Arial"/>
          <w:sz w:val="20"/>
          <w:szCs w:val="20"/>
          <w:color w:val="auto"/>
        </w:rPr>
      </w:pPr>
    </w:p>
    <w:p>
      <w:pPr>
        <w:ind w:left="660" w:right="380" w:hanging="328"/>
        <w:spacing w:after="0" w:line="220"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spacing w:after="0" w:line="2" w:lineRule="exact"/>
        <w:rPr>
          <w:rFonts w:ascii="Arial" w:cs="Arial" w:eastAsia="Arial" w:hAnsi="Arial"/>
          <w:sz w:val="20"/>
          <w:szCs w:val="20"/>
          <w:color w:val="auto"/>
        </w:rPr>
      </w:pPr>
    </w:p>
    <w:p>
      <w:pPr>
        <w:ind w:left="640" w:hanging="308"/>
        <w:spacing w:after="0" w:line="211"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risks related to our leadership changes;</w:t>
      </w:r>
    </w:p>
    <w:p>
      <w:pPr>
        <w:ind w:left="640" w:hanging="308"/>
        <w:spacing w:after="0" w:line="225"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our ability to attract and retain talented and diverse employees, particularly following recent workforce reductions;</w:t>
      </w: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our ability to realize the benefits of cost-savings and efficiency and/or revenue and operating profit enhancing initiatives;</w:t>
      </w:r>
    </w:p>
    <w:p>
      <w:pPr>
        <w:sectPr>
          <w:pgSz w:w="11900" w:h="16838" w:orient="portrait"/>
          <w:cols w:equalWidth="0" w:num="1">
            <w:col w:w="11240"/>
          </w:cols>
          <w:pgMar w:left="320" w:top="887" w:right="339" w:bottom="1440" w:gutter="0" w:footer="0" w:header="0"/>
        </w:sectPr>
      </w:pPr>
    </w:p>
    <w:bookmarkStart w:id="7" w:name="page8"/>
    <w:bookmarkEnd w:id="7"/>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risks relating to the impairment and/or write-offs of businesses, products and content we acquire and/or produce;</w:t>
      </w:r>
    </w:p>
    <w:p>
      <w:pPr>
        <w:spacing w:after="0" w:line="4" w:lineRule="exact"/>
        <w:rPr>
          <w:rFonts w:ascii="Arial" w:cs="Arial" w:eastAsia="Arial" w:hAnsi="Arial"/>
          <w:sz w:val="20"/>
          <w:szCs w:val="20"/>
          <w:color w:val="auto"/>
        </w:rPr>
      </w:pPr>
    </w:p>
    <w:p>
      <w:pPr>
        <w:ind w:left="660" w:right="620" w:hanging="328"/>
        <w:spacing w:after="0" w:line="218"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risk that acquisitions, dispositions and other investments we complete may not provide us with the benefits we expect, or the realization of such benefits may be significantly delayed;</w:t>
      </w:r>
    </w:p>
    <w:p>
      <w:pPr>
        <w:ind w:left="660" w:right="380" w:hanging="328"/>
        <w:spacing w:after="0" w:line="218"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our ability to protect our assets and intellectual property, including as a result of infringement, theft, misappropriation, cyber-attacks or other acts compromising the integrity of our assets or intellectual property;</w:t>
      </w:r>
    </w:p>
    <w:p>
      <w:pPr>
        <w:ind w:left="640" w:hanging="308"/>
        <w:spacing w:after="0" w:line="225" w:lineRule="auto"/>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fluctuations in our business due to seasonality;</w:t>
      </w:r>
    </w:p>
    <w:p>
      <w:pPr>
        <w:ind w:left="640" w:hanging="308"/>
        <w:spacing w:after="0" w:line="225" w:lineRule="auto"/>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risk of product recalls or product liability suits and costs associated with product safety regulations;</w:t>
      </w:r>
    </w:p>
    <w:p>
      <w:pPr>
        <w:ind w:left="660" w:right="720" w:hanging="328"/>
        <w:spacing w:after="0" w:line="220"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changes in accounting treatment, tax laws or regulations, or the interpretation and application of such laws and regulations, which may cause us to alter reserves or make other changes which significantly impact our reported financial results;</w:t>
      </w:r>
    </w:p>
    <w:p>
      <w:pPr>
        <w:spacing w:after="0" w:line="2"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impact of litigation or arbitration decisions or settlement actions;</w:t>
      </w:r>
    </w:p>
    <w:p>
      <w:pPr>
        <w:ind w:left="640" w:hanging="308"/>
        <w:spacing w:after="0" w:line="211" w:lineRule="auto"/>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bankruptcy or other lack of success of one or more of our significant retailers, licensees and other partners; and</w:t>
      </w:r>
    </w:p>
    <w:p>
      <w:pPr>
        <w:ind w:left="660" w:right="720" w:hanging="328"/>
        <w:spacing w:after="0" w:line="239"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other risks and uncertainties as may be detailed in our public announcements and U.S. Securities and Exchange Commission (“SEC”) filings.</w:t>
      </w:r>
    </w:p>
    <w:p>
      <w:pPr>
        <w:spacing w:after="0" w:line="199" w:lineRule="exact"/>
        <w:rPr>
          <w:sz w:val="20"/>
          <w:szCs w:val="20"/>
          <w:color w:val="auto"/>
        </w:rPr>
      </w:pPr>
    </w:p>
    <w:p>
      <w:pPr>
        <w:ind w:right="100"/>
        <w:spacing w:after="0" w:line="239" w:lineRule="auto"/>
        <w:rPr>
          <w:sz w:val="20"/>
          <w:szCs w:val="20"/>
          <w:color w:val="auto"/>
        </w:rPr>
      </w:pPr>
      <w:r>
        <w:rPr>
          <w:rFonts w:ascii="Arial" w:cs="Arial" w:eastAsia="Arial" w:hAnsi="Arial"/>
          <w:sz w:val="19"/>
          <w:szCs w:val="19"/>
          <w:color w:val="auto"/>
        </w:rPr>
        <w:t>The statements contained herein are based on our current beliefs and expectations. We undertake no obligation to make any revisions to the forward-looking statements contained in this press release or to update them to reflect events or circumstances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occurring after the date of this press release.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0"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The financial tables accompanying this press release include non-GAAP financial measures as defined under SEC rules, specifically Adjusted operating profit, Adjusted operating margin, Adjusted net earnings and Adjusted net earnings per diluted share, which exclude, where applicable, acquisition-related costs, acquired intangible amortization, strategic transformation initiatives, restructuring and severance costs, loss on disposal of business, eOne Film and TV business divestiture related costs and certain non-cash asset impairment costs. Also included in this press release are the non-GAAP financial measures of EBITDA and Adjusted EBITDA. EBITDA represents net earnings attributable to Hasbro, Inc. excluding interest expense, income tax expense, net earnings attributable to noncontrolling interests, depreciation and amortization of intangibles. Adjusted EBITDA also excludes strategic transformation initiatives, restructuring and severance costs, loss on disposal of business, eOne Film and TV business divestiture related costs, certain non-cash asset impairment charges and the impact of stock compensation (including acquisition-related stock expense). As required by SEC rules, we have provided reconciliations on the attached schedules of these measures to the most directly comparable GAAP measure. Management believes that Adjusted net earnings, Adjusted net earnings per diluted share, Adjusted operating profit and Adjusted operating margin provide investors with an understanding of the underlying performance of our business absent unusual events. Management believes that EBITDA and Adjusted EBITDA are appropriate measures for evaluating the operating performance of our business because they reflect the resources available for strategic opportunities including, among others, to invest in the business, strengthen the balance sheet and make strategic acquisitions. These non-GAAP measures should be considered in addition to, not as a substitute for, or superior to, net earnings or other measures of financial performance prepared in accordance with GAAP as more fully discussed in our consolidated financial statements and filings with the SEC. As used herein, "GAAP" refers to accounting principles generally accepted in the United States of America.</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HAS-E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Investors: Kern Kapoor | Hasbro, Inc. | hasbro_investor_relations@hasbro.com</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Media: Roberta Thomson | Hasbro, Inc. | communications@hasbro.com</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 #</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(Tables Attached)</w:t>
      </w:r>
    </w:p>
    <w:p>
      <w:pPr>
        <w:sectPr>
          <w:pgSz w:w="11900" w:h="16838" w:orient="portrait"/>
          <w:cols w:equalWidth="0" w:num="1">
            <w:col w:w="11200"/>
          </w:cols>
          <w:pgMar w:left="320" w:top="874" w:right="379" w:bottom="1440" w:gutter="0" w:footer="0" w:header="0"/>
        </w:sectPr>
      </w:pPr>
    </w:p>
    <w:bookmarkStart w:id="8" w:name="page9"/>
    <w:bookmarkEnd w:id="8"/>
    <w:p>
      <w:pPr>
        <w:spacing w:after="0"/>
        <w:rPr>
          <w:sz w:val="20"/>
          <w:szCs w:val="20"/>
          <w:color w:val="auto"/>
        </w:rPr>
      </w:pPr>
      <w:r>
        <w:rPr>
          <w:rFonts w:ascii="Arial" w:cs="Arial" w:eastAsia="Arial" w:hAnsi="Arial"/>
          <w:sz w:val="29"/>
          <w:szCs w:val="29"/>
          <w:b w:val="1"/>
          <w:bCs w:val="1"/>
          <w:color w:val="auto"/>
        </w:rPr>
        <w:t>HASBRO, INC.</w:t>
      </w:r>
    </w:p>
    <w:p>
      <w:pPr>
        <w:spacing w:after="0" w:line="229" w:lineRule="auto"/>
        <w:rPr>
          <w:sz w:val="20"/>
          <w:szCs w:val="20"/>
          <w:color w:val="auto"/>
        </w:rPr>
      </w:pPr>
      <w:r>
        <w:rPr>
          <w:rFonts w:ascii="Arial" w:cs="Arial" w:eastAsia="Arial" w:hAnsi="Arial"/>
          <w:sz w:val="22"/>
          <w:szCs w:val="22"/>
          <w:b w:val="1"/>
          <w:bCs w:val="1"/>
          <w:color w:val="auto"/>
        </w:rPr>
        <w:t xml:space="preserve">CONDENSED CONSOLIDATED BALANCE SHEETS </w:t>
      </w:r>
      <w:r>
        <w:rPr>
          <w:rFonts w:ascii="Arial" w:cs="Arial" w:eastAsia="Arial" w:hAnsi="Arial"/>
          <w:sz w:val="28"/>
          <w:szCs w:val="28"/>
          <w:b w:val="1"/>
          <w:bCs w:val="1"/>
          <w:color w:val="auto"/>
          <w:vertAlign w:val="superscript"/>
        </w:rPr>
        <w:t>(1)</w:t>
      </w: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(Millions of Dollars)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29, 2024</w:t>
            </w:r>
          </w:p>
        </w:tc>
        <w:tc>
          <w:tcPr>
            <w:tcW w:w="240" w:type="dxa"/>
            <w:vAlign w:val="bottom"/>
          </w:tcPr>
          <w:p>
            <w:pPr>
              <w:spacing w:after="0"/>
              <w:rPr>
                <w:sz w:val="18"/>
                <w:szCs w:val="18"/>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October 1, 2023</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696.1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185.5</w:t>
            </w:r>
          </w:p>
        </w:tc>
      </w:tr>
      <w:tr>
        <w:trPr>
          <w:trHeight w:val="217"/>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Short-term Investments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1,069.2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1,102.0</w:t>
            </w:r>
          </w:p>
        </w:tc>
      </w:tr>
      <w:tr>
        <w:trPr>
          <w:trHeight w:val="217"/>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617.7</w:t>
            </w: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391.6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286.2</w:t>
            </w:r>
          </w:p>
        </w:tc>
      </w:tr>
      <w:tr>
        <w:trPr>
          <w:trHeight w:val="217"/>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Assets Held for Sale</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1,048.7</w:t>
            </w:r>
          </w:p>
        </w:tc>
      </w:tr>
      <w:tr>
        <w:trPr>
          <w:trHeight w:val="209"/>
        </w:trPr>
        <w:tc>
          <w:tcPr>
            <w:tcW w:w="7100" w:type="dxa"/>
            <w:vAlign w:val="bottom"/>
          </w:tcPr>
          <w:p>
            <w:pPr>
              <w:ind w:left="10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3,021.6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3,240.1</w:t>
            </w:r>
          </w:p>
        </w:tc>
      </w:tr>
      <w:tr>
        <w:trPr>
          <w:trHeight w:val="217"/>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474.6</w:t>
            </w: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2,278.9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3,238.8</w:t>
            </w:r>
          </w:p>
        </w:tc>
      </w:tr>
      <w:tr>
        <w:trPr>
          <w:trHeight w:val="217"/>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655.1</w:t>
            </w:r>
          </w:p>
        </w:tc>
      </w:tr>
      <w:tr>
        <w:trPr>
          <w:trHeight w:val="215"/>
        </w:trPr>
        <w:tc>
          <w:tcPr>
            <w:tcW w:w="7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731.6</w:t>
            </w:r>
          </w:p>
        </w:tc>
      </w:tr>
      <w:tr>
        <w:trPr>
          <w:trHeight w:val="235"/>
        </w:trPr>
        <w:tc>
          <w:tcPr>
            <w:tcW w:w="7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8,340.2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57"/>
        </w:trPr>
        <w:tc>
          <w:tcPr>
            <w:tcW w:w="7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r>
    </w:tbl>
    <w:p>
      <w:pPr>
        <w:ind w:left="40"/>
        <w:spacing w:after="0"/>
        <w:rPr>
          <w:sz w:val="20"/>
          <w:szCs w:val="20"/>
          <w:color w:val="auto"/>
        </w:rPr>
      </w:pPr>
      <w:r>
        <w:rPr>
          <w:rFonts w:ascii="Arial" w:cs="Arial" w:eastAsia="Arial" w:hAnsi="Arial"/>
          <w:sz w:val="20"/>
          <w:szCs w:val="20"/>
          <w:b w:val="1"/>
          <w:bCs w:val="1"/>
          <w:color w:val="auto"/>
        </w:rPr>
        <w:t>LIABILITIES, NONCONTROLLING INTERESTS AND SHAREHOLDERS' EQUITY</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 of Long-Term Debt</w:t>
            </w: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Accounts Payable</w:t>
            </w:r>
          </w:p>
        </w:tc>
        <w:tc>
          <w:tcPr>
            <w:tcW w:w="7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420.3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371.4</w:t>
            </w:r>
          </w:p>
        </w:tc>
      </w:tr>
      <w:tr>
        <w:trPr>
          <w:trHeight w:val="217"/>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Accrued Liabilities</w:t>
            </w: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985.4</w:t>
            </w: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Liabilities Held for Sale</w:t>
            </w:r>
          </w:p>
        </w:tc>
        <w:tc>
          <w:tcPr>
            <w:tcW w:w="7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607.4</w:t>
            </w:r>
          </w:p>
        </w:tc>
      </w:tr>
      <w:tr>
        <w:trPr>
          <w:trHeight w:val="210"/>
        </w:trPr>
        <w:tc>
          <w:tcPr>
            <w:tcW w:w="71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Current Liabilities</w:t>
            </w:r>
          </w:p>
        </w:tc>
        <w:tc>
          <w:tcPr>
            <w:tcW w:w="7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2,052.8</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2,024.2</w:t>
            </w: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Long-Term Debt</w:t>
            </w:r>
          </w:p>
        </w:tc>
        <w:tc>
          <w:tcPr>
            <w:tcW w:w="7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3,462.6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3,654.6</w:t>
            </w:r>
          </w:p>
        </w:tc>
      </w:tr>
      <w:tr>
        <w:trPr>
          <w:trHeight w:val="217"/>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7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404.8</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438.2</w:t>
            </w:r>
          </w:p>
        </w:tc>
      </w:tr>
      <w:tr>
        <w:trPr>
          <w:trHeight w:val="209"/>
        </w:trPr>
        <w:tc>
          <w:tcPr>
            <w:tcW w:w="71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Total Liabilities</w:t>
            </w: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5,920.2</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6,117.0</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Total Shareholders' Equity</w:t>
            </w:r>
          </w:p>
        </w:tc>
        <w:tc>
          <w:tcPr>
            <w:tcW w:w="7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1,309.7</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2,223.2</w:t>
            </w:r>
          </w:p>
        </w:tc>
      </w:tr>
      <w:tr>
        <w:trPr>
          <w:trHeight w:val="210"/>
        </w:trPr>
        <w:tc>
          <w:tcPr>
            <w:tcW w:w="7100" w:type="dxa"/>
            <w:vAlign w:val="bottom"/>
          </w:tcPr>
          <w:p>
            <w:pPr>
              <w:ind w:left="100"/>
              <w:spacing w:after="0"/>
              <w:rPr>
                <w:sz w:val="20"/>
                <w:szCs w:val="20"/>
                <w:color w:val="auto"/>
              </w:rPr>
            </w:pPr>
            <w:r>
              <w:rPr>
                <w:rFonts w:ascii="Arial" w:cs="Arial" w:eastAsia="Arial" w:hAnsi="Arial"/>
                <w:sz w:val="16"/>
                <w:szCs w:val="16"/>
                <w:color w:val="auto"/>
              </w:rPr>
              <w:t>Total Liabilities, Noncontrolling Interests and Shareholders' Equity</w:t>
            </w:r>
          </w:p>
        </w:tc>
        <w:tc>
          <w:tcPr>
            <w:tcW w:w="7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7,229.9</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8,340.2</w:t>
            </w:r>
          </w:p>
        </w:tc>
      </w:tr>
      <w:tr>
        <w:trPr>
          <w:trHeight w:val="20"/>
        </w:trPr>
        <w:tc>
          <w:tcPr>
            <w:tcW w:w="7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Amounts may not sum due to rounding</w:t>
      </w:r>
    </w:p>
    <w:p>
      <w:pPr>
        <w:sectPr>
          <w:pgSz w:w="11900" w:h="16838" w:orient="portrait"/>
          <w:cols w:equalWidth="0" w:num="1">
            <w:col w:w="11220"/>
          </w:cols>
          <w:pgMar w:left="320" w:top="875" w:right="359" w:bottom="1440" w:gutter="0" w:footer="0" w:header="0"/>
        </w:sectPr>
      </w:pPr>
    </w:p>
    <w:bookmarkStart w:id="9" w:name="page10"/>
    <w:bookmarkEnd w:id="9"/>
    <w:p>
      <w:pPr>
        <w:spacing w:after="0"/>
        <w:rPr>
          <w:sz w:val="20"/>
          <w:szCs w:val="20"/>
          <w:color w:val="auto"/>
        </w:rPr>
      </w:pPr>
      <w:r>
        <w:rPr>
          <w:rFonts w:ascii="Arial" w:cs="Arial" w:eastAsia="Arial" w:hAnsi="Arial"/>
          <w:sz w:val="29"/>
          <w:szCs w:val="29"/>
          <w:b w:val="1"/>
          <w:bCs w:val="1"/>
          <w:color w:val="auto"/>
        </w:rPr>
        <w:t>HASBRO, INC.</w:t>
      </w:r>
    </w:p>
    <w:p>
      <w:pPr>
        <w:spacing w:after="0" w:line="229" w:lineRule="auto"/>
        <w:rPr>
          <w:sz w:val="20"/>
          <w:szCs w:val="20"/>
          <w:color w:val="auto"/>
        </w:rPr>
      </w:pPr>
      <w:r>
        <w:rPr>
          <w:rFonts w:ascii="Arial" w:cs="Arial" w:eastAsia="Arial" w:hAnsi="Arial"/>
          <w:sz w:val="22"/>
          <w:szCs w:val="22"/>
          <w:b w:val="1"/>
          <w:bCs w:val="1"/>
          <w:color w:val="auto"/>
        </w:rPr>
        <w:t xml:space="preserve">CONSOLIDATED STATEMENTS OF OPERATIONS </w:t>
      </w:r>
      <w:r>
        <w:rPr>
          <w:rFonts w:ascii="Arial" w:cs="Arial" w:eastAsia="Arial" w:hAnsi="Arial"/>
          <w:sz w:val="28"/>
          <w:szCs w:val="28"/>
          <w:b w:val="1"/>
          <w:bCs w:val="1"/>
          <w:color w:val="auto"/>
          <w:vertAlign w:val="superscript"/>
        </w:rPr>
        <w:t>(1)</w:t>
      </w: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(Millions of Dollars and Shares Except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September 29, 2024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October 1, 2023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September 29, 2024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October 1, 2023</w:t>
            </w:r>
          </w:p>
        </w:tc>
        <w:tc>
          <w:tcPr>
            <w:tcW w:w="0" w:type="dxa"/>
            <w:vAlign w:val="bottom"/>
          </w:tcPr>
          <w:p>
            <w:pPr>
              <w:spacing w:after="0"/>
              <w:rPr>
                <w:sz w:val="1"/>
                <w:szCs w:val="1"/>
                <w:color w:val="auto"/>
              </w:rPr>
            </w:pPr>
          </w:p>
        </w:tc>
      </w:tr>
      <w:tr>
        <w:trPr>
          <w:trHeight w:val="143"/>
        </w:trPr>
        <w:tc>
          <w:tcPr>
            <w:tcW w:w="2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b w:val="1"/>
                <w:bCs w:val="1"/>
                <w:color w:val="auto"/>
              </w:rPr>
              <w:t>% of Net</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b w:val="1"/>
                <w:bCs w:val="1"/>
                <w:color w:val="auto"/>
              </w:rPr>
              <w:t>% of Net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4"/>
                <w:szCs w:val="14"/>
                <w:b w:val="1"/>
                <w:bCs w:val="1"/>
                <w:color w:val="auto"/>
              </w:rPr>
              <w:t>% of Net</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68"/>
              <w:spacing w:after="0" w:line="143" w:lineRule="exact"/>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Revenues</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Revenues</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Revenues</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92"/>
        </w:trPr>
        <w:tc>
          <w:tcPr>
            <w:tcW w:w="2460" w:type="dxa"/>
            <w:vAlign w:val="bottom"/>
          </w:tcPr>
          <w:p>
            <w:pPr>
              <w:ind w:left="20"/>
              <w:spacing w:after="0"/>
              <w:rPr>
                <w:sz w:val="20"/>
                <w:szCs w:val="20"/>
                <w:color w:val="auto"/>
              </w:rPr>
            </w:pPr>
            <w:r>
              <w:rPr>
                <w:rFonts w:ascii="Arial" w:cs="Arial" w:eastAsia="Arial" w:hAnsi="Arial"/>
                <w:sz w:val="14"/>
                <w:szCs w:val="14"/>
                <w:color w:val="auto"/>
              </w:rPr>
              <w:t>Net revenues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1,281.3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1,503.4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3,033.9</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3,714.4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and expenses: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60" w:type="dxa"/>
            <w:vAlign w:val="bottom"/>
          </w:tcPr>
          <w:p>
            <w:pPr>
              <w:ind w:left="260"/>
              <w:spacing w:after="0"/>
              <w:rPr>
                <w:sz w:val="20"/>
                <w:szCs w:val="20"/>
                <w:color w:val="auto"/>
              </w:rPr>
            </w:pPr>
            <w:r>
              <w:rPr>
                <w:rFonts w:ascii="Arial" w:cs="Arial" w:eastAsia="Arial" w:hAnsi="Arial"/>
                <w:sz w:val="14"/>
                <w:szCs w:val="14"/>
                <w:color w:val="auto"/>
              </w:rPr>
              <w:t>Cost of sales</w:t>
            </w:r>
          </w:p>
        </w:tc>
        <w:tc>
          <w:tcPr>
            <w:tcW w:w="14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378.9</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29.6 %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494.5</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32.9 %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820.8</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27.1 %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1,132.0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30.5 %</w:t>
            </w:r>
          </w:p>
        </w:tc>
        <w:tc>
          <w:tcPr>
            <w:tcW w:w="0" w:type="dxa"/>
            <w:vAlign w:val="bottom"/>
          </w:tcPr>
          <w:p>
            <w:pPr>
              <w:spacing w:after="0"/>
              <w:rPr>
                <w:sz w:val="1"/>
                <w:szCs w:val="1"/>
                <w:color w:val="auto"/>
              </w:rPr>
            </w:pPr>
          </w:p>
        </w:tc>
      </w:tr>
      <w:tr>
        <w:trPr>
          <w:trHeight w:val="153"/>
        </w:trPr>
        <w:tc>
          <w:tcPr>
            <w:tcW w:w="2460" w:type="dxa"/>
            <w:vAlign w:val="bottom"/>
            <w:shd w:val="clear" w:color="auto" w:fill="CCEEFF"/>
          </w:tcPr>
          <w:p>
            <w:pPr>
              <w:ind w:left="260"/>
              <w:spacing w:after="0" w:line="153" w:lineRule="exact"/>
              <w:rPr>
                <w:sz w:val="20"/>
                <w:szCs w:val="20"/>
                <w:color w:val="auto"/>
              </w:rPr>
            </w:pPr>
            <w:r>
              <w:rPr>
                <w:rFonts w:ascii="Arial" w:cs="Arial" w:eastAsia="Arial" w:hAnsi="Arial"/>
                <w:sz w:val="14"/>
                <w:szCs w:val="14"/>
                <w:color w:val="auto"/>
              </w:rPr>
              <w:t>Program production cost</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7.9</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0.6 %</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24.5</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325.3</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8.8 %</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w:t>
            </w: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60" w:type="dxa"/>
            <w:vAlign w:val="bottom"/>
          </w:tcPr>
          <w:p>
            <w:pPr>
              <w:ind w:left="260"/>
              <w:spacing w:after="0"/>
              <w:rPr>
                <w:sz w:val="20"/>
                <w:szCs w:val="20"/>
                <w:color w:val="auto"/>
              </w:rPr>
            </w:pPr>
            <w:r>
              <w:rPr>
                <w:rFonts w:ascii="Arial" w:cs="Arial" w:eastAsia="Arial" w:hAnsi="Arial"/>
                <w:sz w:val="14"/>
                <w:szCs w:val="14"/>
                <w:color w:val="auto"/>
              </w:rPr>
              <w:t>Royalties</w:t>
            </w:r>
          </w:p>
        </w:tc>
        <w:tc>
          <w:tcPr>
            <w:tcW w:w="14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98.0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7.6 %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106.9</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7.1 %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204.2</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6.7 %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295.8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8.0 %</w:t>
            </w: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Product development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0" w:type="dxa"/>
            <w:vAlign w:val="bottom"/>
          </w:tcPr>
          <w:p>
            <w:pPr>
              <w:spacing w:after="0"/>
              <w:rPr>
                <w:sz w:val="1"/>
                <w:szCs w:val="1"/>
                <w:color w:val="auto"/>
              </w:rPr>
            </w:pPr>
          </w:p>
        </w:tc>
      </w:tr>
      <w:tr>
        <w:trPr>
          <w:trHeight w:val="198"/>
        </w:trPr>
        <w:tc>
          <w:tcPr>
            <w:tcW w:w="2460" w:type="dxa"/>
            <w:vAlign w:val="bottom"/>
          </w:tcPr>
          <w:p>
            <w:pPr>
              <w:ind w:left="260"/>
              <w:spacing w:after="0"/>
              <w:rPr>
                <w:sz w:val="20"/>
                <w:szCs w:val="20"/>
                <w:color w:val="auto"/>
              </w:rPr>
            </w:pPr>
            <w:r>
              <w:rPr>
                <w:rFonts w:ascii="Arial" w:cs="Arial" w:eastAsia="Arial" w:hAnsi="Arial"/>
                <w:sz w:val="14"/>
                <w:szCs w:val="14"/>
                <w:color w:val="auto"/>
              </w:rPr>
              <w:t>Advertising</w:t>
            </w:r>
          </w:p>
        </w:tc>
        <w:tc>
          <w:tcPr>
            <w:tcW w:w="14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101.9</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8.0 %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81.9</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213.8</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7.0 %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249.8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 of intangibles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98"/>
        </w:trPr>
        <w:tc>
          <w:tcPr>
            <w:tcW w:w="2460" w:type="dxa"/>
            <w:vAlign w:val="bottom"/>
          </w:tcPr>
          <w:p>
            <w:pPr>
              <w:ind w:left="260"/>
              <w:spacing w:after="0"/>
              <w:rPr>
                <w:sz w:val="20"/>
                <w:szCs w:val="20"/>
                <w:color w:val="auto"/>
              </w:rPr>
            </w:pPr>
            <w:r>
              <w:rPr>
                <w:rFonts w:ascii="Arial" w:cs="Arial" w:eastAsia="Arial" w:hAnsi="Arial"/>
                <w:sz w:val="14"/>
                <w:szCs w:val="14"/>
                <w:color w:val="auto"/>
              </w:rPr>
              <w:t>Impairment of goodwill</w:t>
            </w:r>
          </w:p>
        </w:tc>
        <w:tc>
          <w:tcPr>
            <w:tcW w:w="14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231.2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6.2 %</w:t>
            </w: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Loss on disposal of business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31.5 %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12.7 %</w:t>
            </w:r>
          </w:p>
        </w:tc>
        <w:tc>
          <w:tcPr>
            <w:tcW w:w="0" w:type="dxa"/>
            <w:vAlign w:val="bottom"/>
          </w:tcPr>
          <w:p>
            <w:pPr>
              <w:spacing w:after="0"/>
              <w:rPr>
                <w:sz w:val="1"/>
                <w:szCs w:val="1"/>
                <w:color w:val="auto"/>
              </w:rPr>
            </w:pPr>
          </w:p>
        </w:tc>
      </w:tr>
      <w:tr>
        <w:trPr>
          <w:trHeight w:val="148"/>
        </w:trPr>
        <w:tc>
          <w:tcPr>
            <w:tcW w:w="2460" w:type="dxa"/>
            <w:vAlign w:val="bottom"/>
          </w:tcPr>
          <w:p>
            <w:pPr>
              <w:ind w:left="260"/>
              <w:spacing w:after="0" w:line="149" w:lineRule="exact"/>
              <w:rPr>
                <w:sz w:val="20"/>
                <w:szCs w:val="20"/>
                <w:color w:val="auto"/>
              </w:rPr>
            </w:pPr>
            <w:r>
              <w:rPr>
                <w:rFonts w:ascii="Arial" w:cs="Arial" w:eastAsia="Arial" w:hAnsi="Arial"/>
                <w:sz w:val="14"/>
                <w:szCs w:val="14"/>
                <w:color w:val="auto"/>
              </w:rPr>
              <w:t>Selling, distribution and</w:t>
            </w:r>
          </w:p>
        </w:tc>
        <w:tc>
          <w:tcPr>
            <w:tcW w:w="14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299.3</w:t>
            </w:r>
          </w:p>
        </w:tc>
        <w:tc>
          <w:tcPr>
            <w:tcW w:w="80" w:type="dxa"/>
            <w:vAlign w:val="bottom"/>
            <w:vMerge w:val="restart"/>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23.4 %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352.3</w:t>
            </w:r>
          </w:p>
        </w:tc>
        <w:tc>
          <w:tcPr>
            <w:tcW w:w="80" w:type="dxa"/>
            <w:vAlign w:val="bottom"/>
            <w:vMerge w:val="restart"/>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23.4 %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852.6</w:t>
            </w:r>
          </w:p>
        </w:tc>
        <w:tc>
          <w:tcPr>
            <w:tcW w:w="80" w:type="dxa"/>
            <w:vAlign w:val="bottom"/>
            <w:vMerge w:val="restart"/>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28.1 %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1,050.0</w:t>
            </w:r>
          </w:p>
        </w:tc>
        <w:tc>
          <w:tcPr>
            <w:tcW w:w="80" w:type="dxa"/>
            <w:vAlign w:val="bottom"/>
            <w:vMerge w:val="restart"/>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28.3 %</w:t>
            </w:r>
          </w:p>
        </w:tc>
        <w:tc>
          <w:tcPr>
            <w:tcW w:w="0" w:type="dxa"/>
            <w:vAlign w:val="bottom"/>
          </w:tcPr>
          <w:p>
            <w:pPr>
              <w:spacing w:after="0"/>
              <w:rPr>
                <w:sz w:val="1"/>
                <w:szCs w:val="1"/>
                <w:color w:val="auto"/>
              </w:rPr>
            </w:pPr>
          </w:p>
        </w:tc>
      </w:tr>
      <w:tr>
        <w:trPr>
          <w:trHeight w:val="189"/>
        </w:trPr>
        <w:tc>
          <w:tcPr>
            <w:tcW w:w="24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administration</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costs and expenses</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979.4</w:t>
            </w:r>
          </w:p>
        </w:tc>
        <w:tc>
          <w:tcPr>
            <w:tcW w:w="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76.4 %</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1,672.9</w:t>
            </w:r>
          </w:p>
        </w:tc>
        <w:tc>
          <w:tcPr>
            <w:tcW w:w="8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111.3 %</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2,403.7</w:t>
            </w:r>
          </w:p>
        </w:tc>
        <w:tc>
          <w:tcPr>
            <w:tcW w:w="8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79.2 %</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4,054.6</w:t>
            </w:r>
          </w:p>
        </w:tc>
        <w:tc>
          <w:tcPr>
            <w:tcW w:w="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109.2 %</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profit (loss)</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301.9</w:t>
            </w: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23.6 %</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(169.5)</w:t>
            </w: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630.2</w:t>
            </w: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20.8 %</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(340.2)</w:t>
            </w: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0"/>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Non-operating (income) expense: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60" w:type="dxa"/>
            <w:vAlign w:val="bottom"/>
          </w:tcPr>
          <w:p>
            <w:pPr>
              <w:ind w:left="26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46.2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3.6 %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47.1</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3.1 %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127.7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4.2 %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Interest income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8"/>
        </w:trPr>
        <w:tc>
          <w:tcPr>
            <w:tcW w:w="24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 (income) expense, net</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33"/>
        </w:trPr>
        <w:tc>
          <w:tcPr>
            <w:tcW w:w="2460" w:type="dxa"/>
            <w:vAlign w:val="bottom"/>
            <w:shd w:val="clear" w:color="auto" w:fill="CCEEFF"/>
          </w:tcPr>
          <w:p>
            <w:pPr>
              <w:ind w:left="480"/>
              <w:spacing w:after="0" w:line="133" w:lineRule="exact"/>
              <w:rPr>
                <w:sz w:val="20"/>
                <w:szCs w:val="20"/>
                <w:color w:val="auto"/>
              </w:rPr>
            </w:pPr>
            <w:r>
              <w:rPr>
                <w:rFonts w:ascii="Arial" w:cs="Arial" w:eastAsia="Arial" w:hAnsi="Arial"/>
                <w:sz w:val="14"/>
                <w:szCs w:val="14"/>
                <w:color w:val="auto"/>
              </w:rPr>
              <w:t>Total non-operating expense,</w:t>
            </w: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11.6</w:t>
            </w:r>
          </w:p>
        </w:tc>
        <w:tc>
          <w:tcPr>
            <w:tcW w:w="80" w:type="dxa"/>
            <w:vAlign w:val="bottom"/>
            <w:vMerge w:val="restart"/>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80" w:type="dxa"/>
            <w:vAlign w:val="bottom"/>
            <w:vMerge w:val="restart"/>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76.0</w:t>
            </w:r>
          </w:p>
        </w:tc>
        <w:tc>
          <w:tcPr>
            <w:tcW w:w="80" w:type="dxa"/>
            <w:vAlign w:val="bottom"/>
            <w:vMerge w:val="restart"/>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80" w:type="dxa"/>
            <w:vAlign w:val="bottom"/>
            <w:vMerge w:val="restart"/>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w:t>
            </w: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60" w:type="dxa"/>
            <w:vAlign w:val="bottom"/>
          </w:tcPr>
          <w:p>
            <w:pPr>
              <w:ind w:left="20"/>
              <w:spacing w:after="0"/>
              <w:rPr>
                <w:sz w:val="20"/>
                <w:szCs w:val="20"/>
                <w:color w:val="auto"/>
              </w:rPr>
            </w:pPr>
            <w:r>
              <w:rPr>
                <w:rFonts w:ascii="Arial" w:cs="Arial" w:eastAsia="Arial" w:hAnsi="Arial"/>
                <w:sz w:val="14"/>
                <w:szCs w:val="14"/>
                <w:color w:val="auto"/>
              </w:rPr>
              <w:t>Earnings (loss) before income taxes</w:t>
            </w:r>
          </w:p>
        </w:tc>
        <w:tc>
          <w:tcPr>
            <w:tcW w:w="1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290.3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22.7 %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(215.0)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554.2</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18.3 %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(463.9)</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67.0</w:t>
            </w:r>
          </w:p>
        </w:tc>
        <w:tc>
          <w:tcPr>
            <w:tcW w:w="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5.2 %</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8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133.3</w:t>
            </w:r>
          </w:p>
        </w:tc>
        <w:tc>
          <w:tcPr>
            <w:tcW w:w="8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2"/>
        </w:trPr>
        <w:tc>
          <w:tcPr>
            <w:tcW w:w="2460" w:type="dxa"/>
            <w:vAlign w:val="bottom"/>
          </w:tcPr>
          <w:p>
            <w:pPr>
              <w:ind w:left="140"/>
              <w:spacing w:after="0"/>
              <w:rPr>
                <w:sz w:val="20"/>
                <w:szCs w:val="20"/>
                <w:color w:val="auto"/>
              </w:rPr>
            </w:pPr>
            <w:r>
              <w:rPr>
                <w:rFonts w:ascii="Arial" w:cs="Arial" w:eastAsia="Arial" w:hAnsi="Arial"/>
                <w:sz w:val="14"/>
                <w:szCs w:val="14"/>
                <w:color w:val="auto"/>
              </w:rPr>
              <w:t>Net earnings (loss)</w:t>
            </w:r>
          </w:p>
        </w:tc>
        <w:tc>
          <w:tcPr>
            <w:tcW w:w="1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223.3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17.4 %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(170.4)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420.9</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13.9 %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(427.0)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53"/>
        </w:trPr>
        <w:tc>
          <w:tcPr>
            <w:tcW w:w="24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Net earnings attributable to</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460" w:type="dxa"/>
            <w:vAlign w:val="bottom"/>
          </w:tcPr>
          <w:p>
            <w:pPr>
              <w:ind w:left="20"/>
              <w:spacing w:after="0" w:line="129" w:lineRule="exact"/>
              <w:rPr>
                <w:sz w:val="20"/>
                <w:szCs w:val="20"/>
                <w:color w:val="auto"/>
              </w:rPr>
            </w:pPr>
            <w:r>
              <w:rPr>
                <w:rFonts w:ascii="Arial" w:cs="Arial" w:eastAsia="Arial" w:hAnsi="Arial"/>
                <w:sz w:val="14"/>
                <w:szCs w:val="14"/>
                <w:color w:val="auto"/>
              </w:rPr>
              <w:t>Net earnings (loss) attributable to</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223.2</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color w:val="auto"/>
              </w:rPr>
              <w:t>17.4 %</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(171.1)</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419.9</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13.8 %</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(428.2)</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62"/>
        </w:trPr>
        <w:tc>
          <w:tcPr>
            <w:tcW w:w="2460" w:type="dxa"/>
            <w:vAlign w:val="bottom"/>
          </w:tcPr>
          <w:p>
            <w:pPr>
              <w:ind w:left="20"/>
              <w:spacing w:after="0"/>
              <w:rPr>
                <w:sz w:val="20"/>
                <w:szCs w:val="20"/>
                <w:color w:val="auto"/>
              </w:rPr>
            </w:pPr>
            <w:r>
              <w:rPr>
                <w:rFonts w:ascii="Arial" w:cs="Arial" w:eastAsia="Arial" w:hAnsi="Arial"/>
                <w:sz w:val="14"/>
                <w:szCs w:val="14"/>
                <w:color w:val="auto"/>
              </w:rPr>
              <w:t>Hasbro, Inc.</w:t>
            </w:r>
          </w:p>
        </w:tc>
        <w:tc>
          <w:tcPr>
            <w:tcW w:w="1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4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240"/>
              <w:spacing w:after="0" w:line="149" w:lineRule="exact"/>
              <w:rPr>
                <w:sz w:val="20"/>
                <w:szCs w:val="20"/>
                <w:color w:val="auto"/>
              </w:rPr>
            </w:pPr>
            <w:r>
              <w:rPr>
                <w:rFonts w:ascii="Arial" w:cs="Arial" w:eastAsia="Arial" w:hAnsi="Arial"/>
                <w:sz w:val="14"/>
                <w:szCs w:val="14"/>
                <w:color w:val="auto"/>
              </w:rPr>
              <w:t>Net earnings (loss) per common</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240"/>
              <w:spacing w:after="0"/>
              <w:rPr>
                <w:sz w:val="20"/>
                <w:szCs w:val="20"/>
                <w:color w:val="auto"/>
              </w:rPr>
            </w:pPr>
            <w:r>
              <w:rPr>
                <w:rFonts w:ascii="Arial" w:cs="Arial" w:eastAsia="Arial" w:hAnsi="Arial"/>
                <w:sz w:val="14"/>
                <w:szCs w:val="14"/>
                <w:color w:val="auto"/>
              </w:rPr>
              <w:t>share: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1.60</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3.01</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460" w:type="dxa"/>
            <w:vAlign w:val="bottom"/>
          </w:tcPr>
          <w:p>
            <w:pPr>
              <w:ind w:left="800"/>
              <w:spacing w:after="0"/>
              <w:rPr>
                <w:sz w:val="20"/>
                <w:szCs w:val="20"/>
                <w:color w:val="auto"/>
              </w:rPr>
            </w:pPr>
            <w:r>
              <w:rPr>
                <w:rFonts w:ascii="Arial" w:cs="Arial" w:eastAsia="Arial" w:hAnsi="Arial"/>
                <w:sz w:val="14"/>
                <w:szCs w:val="14"/>
                <w:color w:val="auto"/>
              </w:rPr>
              <w:t>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46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06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0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04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06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60" w:type="dxa"/>
            <w:vAlign w:val="bottom"/>
          </w:tcPr>
          <w:p>
            <w:pPr>
              <w:ind w:left="20"/>
              <w:spacing w:after="0"/>
              <w:rPr>
                <w:sz w:val="20"/>
                <w:szCs w:val="20"/>
                <w:color w:val="auto"/>
              </w:rPr>
            </w:pPr>
            <w:r>
              <w:rPr>
                <w:rFonts w:ascii="Arial" w:cs="Arial" w:eastAsia="Arial" w:hAnsi="Arial"/>
                <w:sz w:val="14"/>
                <w:szCs w:val="14"/>
                <w:color w:val="auto"/>
              </w:rPr>
              <w:t>Cash Dividends Declared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0.70</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0.70</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4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460" w:type="dxa"/>
            <w:vAlign w:val="bottom"/>
          </w:tcPr>
          <w:p>
            <w:pPr>
              <w:ind w:left="20"/>
              <w:spacing w:after="0"/>
              <w:rPr>
                <w:sz w:val="20"/>
                <w:szCs w:val="20"/>
                <w:color w:val="auto"/>
              </w:rPr>
            </w:pPr>
            <w:r>
              <w:rPr>
                <w:rFonts w:ascii="Arial" w:cs="Arial" w:eastAsia="Arial" w:hAnsi="Arial"/>
                <w:sz w:val="14"/>
                <w:szCs w:val="14"/>
                <w:color w:val="auto"/>
              </w:rPr>
              <w:t>Weighted Average Number of Shares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4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139.5</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138.8</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139.3</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138.7</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60" w:type="dxa"/>
            <w:vAlign w:val="bottom"/>
          </w:tcPr>
          <w:p>
            <w:pPr>
              <w:ind w:left="800"/>
              <w:spacing w:after="0"/>
              <w:rPr>
                <w:sz w:val="20"/>
                <w:szCs w:val="20"/>
                <w:color w:val="auto"/>
              </w:rPr>
            </w:pPr>
            <w:r>
              <w:rPr>
                <w:rFonts w:ascii="Arial" w:cs="Arial" w:eastAsia="Arial" w:hAnsi="Arial"/>
                <w:sz w:val="14"/>
                <w:szCs w:val="14"/>
                <w:color w:val="auto"/>
              </w:rPr>
              <w:t>Diluted</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140.5</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139.2</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140.0</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139.0</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120" w:hanging="140"/>
        <w:spacing w:after="0"/>
        <w:tabs>
          <w:tab w:leader="none" w:pos="112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Amounts may not sum due to rounding</w:t>
      </w:r>
    </w:p>
    <w:p>
      <w:pPr>
        <w:sectPr>
          <w:pgSz w:w="11900" w:h="16838" w:orient="portrait"/>
          <w:cols w:equalWidth="0" w:num="1">
            <w:col w:w="10840"/>
          </w:cols>
          <w:pgMar w:left="320" w:top="848" w:right="739" w:bottom="1440" w:gutter="0" w:footer="0" w:header="0"/>
        </w:sectPr>
      </w:pPr>
    </w:p>
    <w:bookmarkStart w:id="10" w:name="page11"/>
    <w:bookmarkEnd w:id="10"/>
    <w:p>
      <w:pPr>
        <w:spacing w:after="0"/>
        <w:rPr>
          <w:sz w:val="20"/>
          <w:szCs w:val="20"/>
          <w:color w:val="auto"/>
        </w:rPr>
      </w:pPr>
      <w:r>
        <w:rPr>
          <w:rFonts w:ascii="Arial" w:cs="Arial" w:eastAsia="Arial" w:hAnsi="Arial"/>
          <w:sz w:val="29"/>
          <w:szCs w:val="29"/>
          <w:b w:val="1"/>
          <w:bCs w:val="1"/>
          <w:color w:val="auto"/>
        </w:rPr>
        <w:t>HASBRO, INC.</w:t>
      </w:r>
    </w:p>
    <w:p>
      <w:pPr>
        <w:spacing w:after="0" w:line="229" w:lineRule="auto"/>
        <w:rPr>
          <w:sz w:val="20"/>
          <w:szCs w:val="20"/>
          <w:color w:val="auto"/>
        </w:rPr>
      </w:pPr>
      <w:r>
        <w:rPr>
          <w:rFonts w:ascii="Arial" w:cs="Arial" w:eastAsia="Arial" w:hAnsi="Arial"/>
          <w:sz w:val="22"/>
          <w:szCs w:val="22"/>
          <w:b w:val="1"/>
          <w:bCs w:val="1"/>
          <w:color w:val="auto"/>
        </w:rPr>
        <w:t xml:space="preserve">CONDENSED CONSOLIDATED STATEMENTS OF CASH FLOWS </w:t>
      </w:r>
      <w:r>
        <w:rPr>
          <w:rFonts w:ascii="Arial" w:cs="Arial" w:eastAsia="Arial" w:hAnsi="Arial"/>
          <w:sz w:val="28"/>
          <w:szCs w:val="28"/>
          <w:b w:val="1"/>
          <w:bCs w:val="1"/>
          <w:color w:val="auto"/>
          <w:vertAlign w:val="superscript"/>
        </w:rPr>
        <w:t>(1)</w:t>
      </w: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(Millions of Dollars)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right"/>
              <w:ind w:right="119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7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29, 2024</w:t>
            </w:r>
          </w:p>
        </w:tc>
        <w:tc>
          <w:tcPr>
            <w:tcW w:w="240" w:type="dxa"/>
            <w:vAlign w:val="bottom"/>
          </w:tcPr>
          <w:p>
            <w:pPr>
              <w:spacing w:after="0"/>
              <w:rPr>
                <w:sz w:val="18"/>
                <w:szCs w:val="18"/>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October 1, 2023</w:t>
            </w:r>
          </w:p>
        </w:tc>
      </w:tr>
      <w:tr>
        <w:trPr>
          <w:trHeight w:val="196"/>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r>
      <w:tr>
        <w:trPr>
          <w:trHeight w:val="215"/>
        </w:trPr>
        <w:tc>
          <w:tcPr>
            <w:tcW w:w="7100" w:type="dxa"/>
            <w:vAlign w:val="bottom"/>
          </w:tcPr>
          <w:p>
            <w:pPr>
              <w:ind w:left="100"/>
              <w:spacing w:after="0"/>
              <w:rPr>
                <w:sz w:val="20"/>
                <w:szCs w:val="20"/>
                <w:color w:val="auto"/>
              </w:rPr>
            </w:pPr>
            <w:r>
              <w:rPr>
                <w:rFonts w:ascii="Arial" w:cs="Arial" w:eastAsia="Arial" w:hAnsi="Arial"/>
                <w:sz w:val="16"/>
                <w:szCs w:val="16"/>
                <w:color w:val="auto"/>
              </w:rPr>
              <w:t>Net Earnings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420.9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(427.0)</w:t>
            </w:r>
          </w:p>
        </w:tc>
      </w:tr>
      <w:tr>
        <w:trPr>
          <w:trHeight w:val="217"/>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Loss on Disposal of Business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w:t>
            </w:r>
          </w:p>
        </w:tc>
      </w:tr>
      <w:tr>
        <w:trPr>
          <w:trHeight w:val="215"/>
        </w:trPr>
        <w:tc>
          <w:tcPr>
            <w:tcW w:w="7100" w:type="dxa"/>
            <w:vAlign w:val="bottom"/>
          </w:tcPr>
          <w:p>
            <w:pPr>
              <w:ind w:left="100"/>
              <w:spacing w:after="0"/>
              <w:rPr>
                <w:sz w:val="20"/>
                <w:szCs w:val="20"/>
                <w:color w:val="auto"/>
              </w:rPr>
            </w:pPr>
            <w:r>
              <w:rPr>
                <w:rFonts w:ascii="Arial" w:cs="Arial" w:eastAsia="Arial" w:hAnsi="Arial"/>
                <w:sz w:val="16"/>
                <w:szCs w:val="16"/>
                <w:color w:val="auto"/>
              </w:rPr>
              <w:t>Impairment of Goodwill and Intangible Assets</w:t>
            </w:r>
          </w:p>
        </w:tc>
        <w:tc>
          <w:tcPr>
            <w:tcW w:w="18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231.2</w:t>
            </w:r>
          </w:p>
        </w:tc>
      </w:tr>
      <w:tr>
        <w:trPr>
          <w:trHeight w:val="217"/>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Non-Cash Adjustments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545.6</w:t>
            </w:r>
          </w:p>
        </w:tc>
      </w:tr>
      <w:tr>
        <w:trPr>
          <w:trHeight w:val="215"/>
        </w:trPr>
        <w:tc>
          <w:tcPr>
            <w:tcW w:w="71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(487.9)</w:t>
            </w:r>
          </w:p>
        </w:tc>
      </w:tr>
      <w:tr>
        <w:trPr>
          <w:trHeight w:val="20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334.9</w:t>
            </w:r>
          </w:p>
        </w:tc>
      </w:tr>
      <w:tr>
        <w:trPr>
          <w:trHeight w:val="237"/>
        </w:trPr>
        <w:tc>
          <w:tcPr>
            <w:tcW w:w="7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100" w:type="dxa"/>
            <w:vAlign w:val="bottom"/>
          </w:tcPr>
          <w:p>
            <w:pPr>
              <w:ind w:left="80"/>
              <w:spacing w:after="0"/>
              <w:rPr>
                <w:sz w:val="20"/>
                <w:szCs w:val="20"/>
                <w:color w:val="auto"/>
              </w:rPr>
            </w:pPr>
            <w:r>
              <w:rPr>
                <w:rFonts w:ascii="Arial" w:cs="Arial" w:eastAsia="Arial" w:hAnsi="Arial"/>
                <w:sz w:val="16"/>
                <w:szCs w:val="16"/>
                <w:color w:val="auto"/>
              </w:rPr>
              <w:t>Additions to Property, Plant and Equipment</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(146.2)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(160.4)</w:t>
            </w:r>
          </w:p>
        </w:tc>
      </w:tr>
      <w:tr>
        <w:trPr>
          <w:trHeight w:val="217"/>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 of investments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100" w:type="dxa"/>
            <w:vAlign w:val="bottom"/>
          </w:tcPr>
          <w:p>
            <w:pPr>
              <w:ind w:left="100"/>
              <w:spacing w:after="0"/>
              <w:rPr>
                <w:sz w:val="20"/>
                <w:szCs w:val="20"/>
                <w:color w:val="auto"/>
              </w:rPr>
            </w:pPr>
            <w:r>
              <w:rPr>
                <w:rFonts w:ascii="Arial" w:cs="Arial" w:eastAsia="Arial" w:hAnsi="Arial"/>
                <w:sz w:val="16"/>
                <w:szCs w:val="16"/>
                <w:color w:val="auto"/>
              </w:rPr>
              <w:t>Proceeds from sale of investments</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(settlement) proceeds from sale of business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1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Cash Utilized by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w:t>
            </w:r>
          </w:p>
        </w:tc>
      </w:tr>
      <w:tr>
        <w:trPr>
          <w:trHeight w:val="237"/>
        </w:trPr>
        <w:tc>
          <w:tcPr>
            <w:tcW w:w="7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100" w:type="dxa"/>
            <w:vAlign w:val="bottom"/>
          </w:tcPr>
          <w:p>
            <w:pPr>
              <w:ind w:left="100"/>
              <w:spacing w:after="0"/>
              <w:rPr>
                <w:sz w:val="20"/>
                <w:szCs w:val="20"/>
                <w:color w:val="auto"/>
              </w:rPr>
            </w:pPr>
            <w:r>
              <w:rPr>
                <w:rFonts w:ascii="Arial" w:cs="Arial" w:eastAsia="Arial" w:hAnsi="Arial"/>
                <w:sz w:val="16"/>
                <w:szCs w:val="16"/>
                <w:color w:val="auto"/>
              </w:rPr>
              <w:t>Proceeds from Long-Term Debt</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498.6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of Long-Term Debt</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r>
      <w:tr>
        <w:trPr>
          <w:trHeight w:val="215"/>
        </w:trPr>
        <w:tc>
          <w:tcPr>
            <w:tcW w:w="7100" w:type="dxa"/>
            <w:vAlign w:val="bottom"/>
          </w:tcPr>
          <w:p>
            <w:pPr>
              <w:ind w:left="100"/>
              <w:spacing w:after="0"/>
              <w:rPr>
                <w:sz w:val="20"/>
                <w:szCs w:val="20"/>
                <w:color w:val="auto"/>
              </w:rPr>
            </w:pPr>
            <w:r>
              <w:rPr>
                <w:rFonts w:ascii="Arial" w:cs="Arial" w:eastAsia="Arial" w:hAnsi="Arial"/>
                <w:sz w:val="16"/>
                <w:szCs w:val="16"/>
                <w:color w:val="auto"/>
              </w:rPr>
              <w:t>Net Proceeds from Short-Term Borrowings</w:t>
            </w:r>
          </w:p>
        </w:tc>
        <w:tc>
          <w:tcPr>
            <w:tcW w:w="18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7"/>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Dividends Paid</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(290.9)</w:t>
            </w:r>
          </w:p>
        </w:tc>
      </w:tr>
      <w:tr>
        <w:trPr>
          <w:trHeight w:val="215"/>
        </w:trPr>
        <w:tc>
          <w:tcPr>
            <w:tcW w:w="7100" w:type="dxa"/>
            <w:vAlign w:val="bottom"/>
          </w:tcPr>
          <w:p>
            <w:pPr>
              <w:ind w:left="100"/>
              <w:spacing w:after="0"/>
              <w:rPr>
                <w:sz w:val="20"/>
                <w:szCs w:val="20"/>
                <w:color w:val="auto"/>
              </w:rPr>
            </w:pPr>
            <w:r>
              <w:rPr>
                <w:rFonts w:ascii="Arial" w:cs="Arial" w:eastAsia="Arial" w:hAnsi="Arial"/>
                <w:sz w:val="16"/>
                <w:szCs w:val="16"/>
                <w:color w:val="auto"/>
              </w:rPr>
              <w:t>Payments Related to Tax Withholding for Share-Based Compensation</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7"/>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Stock-Based Compensation Transactions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100" w:type="dxa"/>
            <w:vAlign w:val="bottom"/>
          </w:tcPr>
          <w:p>
            <w:pPr>
              <w:ind w:left="100"/>
              <w:spacing w:after="0"/>
              <w:rPr>
                <w:sz w:val="20"/>
                <w:szCs w:val="20"/>
                <w:color w:val="auto"/>
              </w:rPr>
            </w:pPr>
            <w:r>
              <w:rPr>
                <w:rFonts w:ascii="Arial" w:cs="Arial" w:eastAsia="Arial" w:hAnsi="Arial"/>
                <w:sz w:val="16"/>
                <w:szCs w:val="16"/>
                <w:color w:val="auto"/>
              </w:rPr>
              <w:t>Payments of Financing Costs</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09"/>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Cash Provided (Utilized) by Financing Activities</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(418.0)</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w:t>
            </w: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09"/>
        </w:trPr>
        <w:tc>
          <w:tcPr>
            <w:tcW w:w="7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(257.2)</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Net Decrease in Cash Balances Held For Sale</w:t>
            </w: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w:t>
            </w:r>
          </w:p>
        </w:tc>
      </w:tr>
      <w:tr>
        <w:trPr>
          <w:trHeight w:val="209"/>
        </w:trPr>
        <w:tc>
          <w:tcPr>
            <w:tcW w:w="710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150.7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(327.6)</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513.1</w:t>
            </w:r>
          </w:p>
        </w:tc>
      </w:tr>
      <w:tr>
        <w:trPr>
          <w:trHeight w:val="210"/>
        </w:trPr>
        <w:tc>
          <w:tcPr>
            <w:tcW w:w="710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185.5</w:t>
            </w:r>
          </w:p>
        </w:tc>
      </w:tr>
      <w:tr>
        <w:trPr>
          <w:trHeight w:val="20"/>
        </w:trPr>
        <w:tc>
          <w:tcPr>
            <w:tcW w:w="7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Amounts may not sum due to rounding</w:t>
      </w:r>
    </w:p>
    <w:p>
      <w:pPr>
        <w:sectPr>
          <w:pgSz w:w="11900" w:h="16838" w:orient="portrait"/>
          <w:cols w:equalWidth="0" w:num="1">
            <w:col w:w="11220"/>
          </w:cols>
          <w:pgMar w:left="320" w:top="875" w:right="359" w:bottom="1440" w:gutter="0" w:footer="0" w:header="0"/>
        </w:sectPr>
      </w:pPr>
    </w:p>
    <w:bookmarkStart w:id="11" w:name="page12"/>
    <w:bookmarkEnd w:id="11"/>
    <w:p>
      <w:pPr>
        <w:spacing w:after="0"/>
        <w:rPr>
          <w:sz w:val="20"/>
          <w:szCs w:val="20"/>
          <w:color w:val="auto"/>
        </w:rPr>
      </w:pPr>
      <w:r>
        <w:rPr>
          <w:rFonts w:ascii="Arial" w:cs="Arial" w:eastAsia="Arial" w:hAnsi="Arial"/>
          <w:sz w:val="29"/>
          <w:szCs w:val="29"/>
          <w:b w:val="1"/>
          <w:bCs w:val="1"/>
          <w:color w:val="auto"/>
        </w:rPr>
        <w:t>HASBRO, INC.</w:t>
      </w:r>
    </w:p>
    <w:p>
      <w:pPr>
        <w:spacing w:after="0" w:line="229" w:lineRule="auto"/>
        <w:rPr>
          <w:sz w:val="20"/>
          <w:szCs w:val="20"/>
          <w:color w:val="auto"/>
        </w:rPr>
      </w:pPr>
      <w:r>
        <w:rPr>
          <w:rFonts w:ascii="Arial" w:cs="Arial" w:eastAsia="Arial" w:hAnsi="Arial"/>
          <w:sz w:val="22"/>
          <w:szCs w:val="22"/>
          <w:b w:val="1"/>
          <w:bCs w:val="1"/>
          <w:color w:val="auto"/>
        </w:rPr>
        <w:t xml:space="preserve">SEGMENT RESULTS - AS REPORTED AND AS ADJUSTED </w:t>
      </w:r>
      <w:r>
        <w:rPr>
          <w:rFonts w:ascii="Arial" w:cs="Arial" w:eastAsia="Arial" w:hAnsi="Arial"/>
          <w:sz w:val="28"/>
          <w:szCs w:val="28"/>
          <w:b w:val="1"/>
          <w:bCs w:val="1"/>
          <w:color w:val="auto"/>
          <w:vertAlign w:val="superscript"/>
        </w:rPr>
        <w:t>(1)</w:t>
      </w: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(Millions of Dollars)</w:t>
      </w:r>
    </w:p>
    <w:p>
      <w:pPr>
        <w:spacing w:after="0" w:line="279" w:lineRule="exact"/>
        <w:rPr>
          <w:sz w:val="20"/>
          <w:szCs w:val="20"/>
          <w:color w:val="auto"/>
        </w:rPr>
      </w:pPr>
    </w:p>
    <w:tbl>
      <w:tblPr>
        <w:tblLayout w:type="fixed"/>
        <w:tblInd w:w="14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7"/>
          </w:tcPr>
          <w:p>
            <w:pPr>
              <w:jc w:val="right"/>
              <w:ind w:right="59"/>
              <w:spacing w:after="0"/>
              <w:rPr>
                <w:sz w:val="20"/>
                <w:szCs w:val="20"/>
                <w:color w:val="auto"/>
              </w:rPr>
            </w:pPr>
            <w:r>
              <w:rPr>
                <w:rFonts w:ascii="Arial" w:cs="Arial" w:eastAsia="Arial" w:hAnsi="Arial"/>
                <w:sz w:val="16"/>
                <w:szCs w:val="16"/>
                <w:b w:val="1"/>
                <w:bCs w:val="1"/>
                <w:color w:val="auto"/>
              </w:rPr>
              <w:t>Three Months Ended September 29, 2024</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7"/>
          </w:tcPr>
          <w:p>
            <w:pPr>
              <w:jc w:val="right"/>
              <w:ind w:right="219"/>
              <w:spacing w:after="0"/>
              <w:rPr>
                <w:sz w:val="20"/>
                <w:szCs w:val="20"/>
                <w:color w:val="auto"/>
              </w:rPr>
            </w:pPr>
            <w:r>
              <w:rPr>
                <w:rFonts w:ascii="Arial" w:cs="Arial" w:eastAsia="Arial" w:hAnsi="Arial"/>
                <w:sz w:val="16"/>
                <w:szCs w:val="16"/>
                <w:b w:val="1"/>
                <w:bCs w:val="1"/>
                <w:color w:val="auto"/>
              </w:rPr>
              <w:t>Three Months Ended October 1, 2023</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Operating Results</w:t>
            </w:r>
          </w:p>
        </w:tc>
        <w:tc>
          <w:tcPr>
            <w:tcW w:w="40" w:type="dxa"/>
            <w:vAlign w:val="bottom"/>
          </w:tcPr>
          <w:p>
            <w:pPr>
              <w:spacing w:after="0"/>
              <w:rPr>
                <w:sz w:val="13"/>
                <w:szCs w:val="13"/>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As Reported</w:t>
            </w:r>
          </w:p>
        </w:tc>
        <w:tc>
          <w:tcPr>
            <w:tcW w:w="120" w:type="dxa"/>
            <w:vAlign w:val="bottom"/>
          </w:tcPr>
          <w:p>
            <w:pPr>
              <w:spacing w:after="0"/>
              <w:rPr>
                <w:sz w:val="13"/>
                <w:szCs w:val="13"/>
                <w:color w:val="auto"/>
              </w:rPr>
            </w:pPr>
          </w:p>
        </w:tc>
        <w:tc>
          <w:tcPr>
            <w:tcW w:w="120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rPr>
              <w:t>Non-GAAP</w:t>
            </w:r>
          </w:p>
        </w:tc>
        <w:tc>
          <w:tcPr>
            <w:tcW w:w="120" w:type="dxa"/>
            <w:vAlign w:val="bottom"/>
          </w:tcPr>
          <w:p>
            <w:pPr>
              <w:spacing w:after="0"/>
              <w:rPr>
                <w:sz w:val="13"/>
                <w:szCs w:val="13"/>
                <w:color w:val="auto"/>
              </w:rPr>
            </w:pPr>
          </w:p>
        </w:tc>
        <w:tc>
          <w:tcPr>
            <w:tcW w:w="9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Adjusted</w:t>
            </w:r>
          </w:p>
        </w:tc>
        <w:tc>
          <w:tcPr>
            <w:tcW w:w="12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As Reported</w:t>
            </w:r>
          </w:p>
        </w:tc>
        <w:tc>
          <w:tcPr>
            <w:tcW w:w="120" w:type="dxa"/>
            <w:vAlign w:val="bottom"/>
          </w:tcPr>
          <w:p>
            <w:pPr>
              <w:spacing w:after="0"/>
              <w:rPr>
                <w:sz w:val="13"/>
                <w:szCs w:val="13"/>
                <w:color w:val="auto"/>
              </w:rPr>
            </w:pPr>
          </w:p>
        </w:tc>
        <w:tc>
          <w:tcPr>
            <w:tcW w:w="120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rPr>
              <w:t>Non-GAAP</w:t>
            </w:r>
          </w:p>
        </w:tc>
        <w:tc>
          <w:tcPr>
            <w:tcW w:w="100" w:type="dxa"/>
            <w:vAlign w:val="bottom"/>
          </w:tcPr>
          <w:p>
            <w:pPr>
              <w:spacing w:after="0"/>
              <w:rPr>
                <w:sz w:val="13"/>
                <w:szCs w:val="13"/>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Adjusted</w:t>
            </w:r>
          </w:p>
        </w:tc>
        <w:tc>
          <w:tcPr>
            <w:tcW w:w="6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gridSpan w:val="7"/>
            <w:vMerge w:val="continue"/>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80"/>
              <w:spacing w:after="0" w:line="175" w:lineRule="exact"/>
              <w:rPr>
                <w:sz w:val="20"/>
                <w:szCs w:val="20"/>
                <w:color w:val="auto"/>
              </w:rPr>
            </w:pPr>
            <w:r>
              <w:rPr>
                <w:rFonts w:ascii="Arial" w:cs="Arial" w:eastAsia="Arial" w:hAnsi="Arial"/>
                <w:sz w:val="16"/>
                <w:szCs w:val="16"/>
                <w:b w:val="1"/>
                <w:bCs w:val="1"/>
                <w:color w:val="auto"/>
              </w:rPr>
              <w:t>Adjustments</w:t>
            </w: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rPr>
              <w:t>Adjustments</w:t>
            </w: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8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940" w:type="dxa"/>
            <w:vAlign w:val="bottom"/>
            <w:gridSpan w:val="7"/>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Total Company Results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1780" w:type="dxa"/>
            <w:vAlign w:val="bottom"/>
            <w:tcBorders>
              <w:top w:val="single" w:sz="8" w:color="auto"/>
            </w:tcBorders>
            <w:gridSpan w:val="6"/>
          </w:tcPr>
          <w:p>
            <w:pPr>
              <w:ind w:left="100"/>
              <w:spacing w:after="0"/>
              <w:rPr>
                <w:sz w:val="20"/>
                <w:szCs w:val="20"/>
                <w:color w:val="auto"/>
              </w:rPr>
            </w:pPr>
            <w:r>
              <w:rPr>
                <w:rFonts w:ascii="Arial" w:cs="Arial" w:eastAsia="Arial" w:hAnsi="Arial"/>
                <w:sz w:val="16"/>
                <w:szCs w:val="16"/>
                <w:color w:val="auto"/>
              </w:rPr>
              <w:t>External Net Revenues</w:t>
            </w:r>
          </w:p>
        </w:tc>
        <w:tc>
          <w:tcPr>
            <w:tcW w:w="1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CCEEFF"/>
            </w:tcBorders>
          </w:tcPr>
          <w:p>
            <w:pPr>
              <w:jc w:val="right"/>
              <w:ind w:right="119"/>
              <w:spacing w:after="0"/>
              <w:rPr>
                <w:sz w:val="20"/>
                <w:szCs w:val="20"/>
                <w:color w:val="auto"/>
              </w:rPr>
            </w:pPr>
            <w:r>
              <w:rPr>
                <w:rFonts w:ascii="Arial" w:cs="Arial" w:eastAsia="Arial" w:hAnsi="Arial"/>
                <w:sz w:val="16"/>
                <w:szCs w:val="16"/>
                <w:color w:val="auto"/>
              </w:rPr>
              <w:t>1,281.3</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CCEEFF"/>
            </w:tcBorders>
          </w:tcPr>
          <w:p>
            <w:pPr>
              <w:jc w:val="right"/>
              <w:ind w:right="119"/>
              <w:spacing w:after="0"/>
              <w:rPr>
                <w:sz w:val="20"/>
                <w:szCs w:val="20"/>
                <w:color w:val="auto"/>
              </w:rPr>
            </w:pPr>
            <w:r>
              <w:rPr>
                <w:rFonts w:ascii="Arial" w:cs="Arial" w:eastAsia="Arial" w:hAnsi="Arial"/>
                <w:sz w:val="16"/>
                <w:szCs w:val="16"/>
                <w:color w:val="auto"/>
              </w:rPr>
              <w:t>1,281.3</w:t>
            </w: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CCEEFF"/>
            </w:tcBorders>
          </w:tcPr>
          <w:p>
            <w:pPr>
              <w:jc w:val="right"/>
              <w:ind w:right="119"/>
              <w:spacing w:after="0"/>
              <w:rPr>
                <w:sz w:val="20"/>
                <w:szCs w:val="20"/>
                <w:color w:val="auto"/>
              </w:rPr>
            </w:pPr>
            <w:r>
              <w:rPr>
                <w:rFonts w:ascii="Arial" w:cs="Arial" w:eastAsia="Arial" w:hAnsi="Arial"/>
                <w:sz w:val="16"/>
                <w:szCs w:val="16"/>
                <w:color w:val="auto"/>
              </w:rPr>
              <w:t>1,503.4</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tcBorders>
          </w:tcPr>
          <w:p>
            <w:pPr>
              <w:jc w:val="right"/>
              <w:ind w:right="119"/>
              <w:spacing w:after="0"/>
              <w:rPr>
                <w:sz w:val="20"/>
                <w:szCs w:val="20"/>
                <w:color w:val="auto"/>
              </w:rPr>
            </w:pPr>
            <w:r>
              <w:rPr>
                <w:rFonts w:ascii="Arial" w:cs="Arial" w:eastAsia="Arial" w:hAnsi="Arial"/>
                <w:sz w:val="16"/>
                <w:szCs w:val="16"/>
                <w:color w:val="auto"/>
              </w:rPr>
              <w:t>1,503.4</w:t>
            </w:r>
          </w:p>
        </w:tc>
        <w:tc>
          <w:tcPr>
            <w:tcW w:w="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jc w:val="center"/>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940" w:type="dxa"/>
            <w:vAlign w:val="bottom"/>
            <w:gridSpan w:val="7"/>
            <w:shd w:val="clear" w:color="auto" w:fill="CCEEFF"/>
          </w:tcPr>
          <w:p>
            <w:pPr>
              <w:ind w:left="100"/>
              <w:spacing w:after="0"/>
              <w:rPr>
                <w:sz w:val="20"/>
                <w:szCs w:val="20"/>
                <w:color w:val="auto"/>
              </w:rPr>
            </w:pPr>
            <w:r>
              <w:rPr>
                <w:rFonts w:ascii="Arial" w:cs="Arial" w:eastAsia="Arial" w:hAnsi="Arial"/>
                <w:sz w:val="16"/>
                <w:szCs w:val="16"/>
                <w:color w:val="auto"/>
              </w:rPr>
              <w:t>Operating Profit (Loss)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342.6</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40" w:type="dxa"/>
            <w:vAlign w:val="bottom"/>
            <w:gridSpan w:val="7"/>
          </w:tcPr>
          <w:p>
            <w:pPr>
              <w:ind w:left="100"/>
              <w:spacing w:after="0"/>
              <w:rPr>
                <w:sz w:val="20"/>
                <w:szCs w:val="20"/>
                <w:color w:val="auto"/>
              </w:rPr>
            </w:pPr>
            <w:r>
              <w:rPr>
                <w:rFonts w:ascii="Arial" w:cs="Arial" w:eastAsia="Arial" w:hAnsi="Arial"/>
                <w:sz w:val="16"/>
                <w:szCs w:val="16"/>
                <w:color w:val="auto"/>
              </w:rPr>
              <w:t>Operating Margin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23.6 %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25.7 %</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34.1 %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22.8 %</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gridSpan w:val="7"/>
          </w:tcPr>
          <w:p>
            <w:pPr>
              <w:spacing w:after="0" w:line="175" w:lineRule="exact"/>
              <w:rPr>
                <w:sz w:val="20"/>
                <w:szCs w:val="20"/>
                <w:color w:val="auto"/>
              </w:rPr>
            </w:pPr>
            <w:r>
              <w:rPr>
                <w:rFonts w:ascii="Arial" w:cs="Arial" w:eastAsia="Arial" w:hAnsi="Arial"/>
                <w:sz w:val="16"/>
                <w:szCs w:val="16"/>
                <w:b w:val="1"/>
                <w:bCs w:val="1"/>
                <w:color w:val="auto"/>
              </w:rPr>
              <w:t>Segment Results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gridSpan w:val="3"/>
            <w:shd w:val="clear" w:color="auto" w:fill="CCEEFF"/>
          </w:tcPr>
          <w:p>
            <w:pPr>
              <w:spacing w:after="0" w:line="175" w:lineRule="exact"/>
              <w:rPr>
                <w:sz w:val="20"/>
                <w:szCs w:val="20"/>
                <w:color w:val="auto"/>
              </w:rPr>
            </w:pPr>
            <w:r>
              <w:rPr>
                <w:rFonts w:ascii="Arial" w:cs="Arial" w:eastAsia="Arial" w:hAnsi="Arial"/>
                <w:sz w:val="16"/>
                <w:szCs w:val="16"/>
                <w:color w:val="auto"/>
              </w:rPr>
              <w:t>Consumer Products:</w:t>
            </w:r>
          </w:p>
        </w:tc>
        <w:tc>
          <w:tcPr>
            <w:tcW w:w="1460" w:type="dxa"/>
            <w:vAlign w:val="bottom"/>
            <w:tcBorders>
              <w:bottom w:val="single" w:sz="8" w:color="CCEEFF"/>
            </w:tcBorders>
            <w:gridSpan w:val="4"/>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40" w:type="dxa"/>
            <w:vAlign w:val="bottom"/>
            <w:gridSpan w:val="7"/>
          </w:tcPr>
          <w:p>
            <w:pPr>
              <w:ind w:left="100"/>
              <w:spacing w:after="0"/>
              <w:rPr>
                <w:sz w:val="20"/>
                <w:szCs w:val="20"/>
                <w:color w:val="auto"/>
              </w:rPr>
            </w:pPr>
            <w:r>
              <w:rPr>
                <w:rFonts w:ascii="Arial" w:cs="Arial" w:eastAsia="Arial" w:hAnsi="Arial"/>
                <w:sz w:val="16"/>
                <w:szCs w:val="16"/>
                <w:color w:val="auto"/>
              </w:rPr>
              <w:t>External Net Revenues</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860.1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860.1</w:t>
            </w:r>
          </w:p>
        </w:tc>
        <w:tc>
          <w:tcPr>
            <w:tcW w:w="1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956.9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956.9</w:t>
            </w:r>
          </w:p>
        </w:tc>
        <w:tc>
          <w:tcPr>
            <w:tcW w:w="2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940" w:type="dxa"/>
            <w:vAlign w:val="bottom"/>
            <w:gridSpan w:val="7"/>
            <w:shd w:val="clear" w:color="auto" w:fill="CCEEFF"/>
          </w:tcPr>
          <w:p>
            <w:pPr>
              <w:ind w:left="100"/>
              <w:spacing w:after="0"/>
              <w:rPr>
                <w:sz w:val="20"/>
                <w:szCs w:val="20"/>
                <w:color w:val="auto"/>
              </w:rPr>
            </w:pPr>
            <w:r>
              <w:rPr>
                <w:rFonts w:ascii="Arial" w:cs="Arial" w:eastAsia="Arial" w:hAnsi="Arial"/>
                <w:sz w:val="16"/>
                <w:szCs w:val="16"/>
                <w:color w:val="auto"/>
              </w:rPr>
              <w:t>Operating Profit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107.0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40" w:type="dxa"/>
            <w:vAlign w:val="bottom"/>
            <w:gridSpan w:val="7"/>
          </w:tcPr>
          <w:p>
            <w:pPr>
              <w:ind w:left="100"/>
              <w:spacing w:after="0"/>
              <w:rPr>
                <w:sz w:val="20"/>
                <w:szCs w:val="20"/>
                <w:color w:val="auto"/>
              </w:rPr>
            </w:pPr>
            <w:r>
              <w:rPr>
                <w:rFonts w:ascii="Arial" w:cs="Arial" w:eastAsia="Arial" w:hAnsi="Arial"/>
                <w:sz w:val="16"/>
                <w:szCs w:val="16"/>
                <w:color w:val="auto"/>
              </w:rPr>
              <w:t>Operating Margin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15.1 %</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11.2 %</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80" w:type="dxa"/>
            <w:vAlign w:val="bottom"/>
            <w:gridSpan w:val="9"/>
          </w:tcPr>
          <w:p>
            <w:pPr>
              <w:spacing w:after="0" w:line="175" w:lineRule="exact"/>
              <w:rPr>
                <w:sz w:val="20"/>
                <w:szCs w:val="20"/>
                <w:color w:val="auto"/>
              </w:rPr>
            </w:pPr>
            <w:r>
              <w:rPr>
                <w:rFonts w:ascii="Arial" w:cs="Arial" w:eastAsia="Arial" w:hAnsi="Arial"/>
                <w:sz w:val="16"/>
                <w:szCs w:val="16"/>
                <w:color w:val="auto"/>
              </w:rPr>
              <w:t>Wizards of the Coast and Digital Gaming:</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940" w:type="dxa"/>
            <w:vAlign w:val="bottom"/>
            <w:gridSpan w:val="7"/>
            <w:shd w:val="clear" w:color="auto" w:fill="CCEEFF"/>
          </w:tcPr>
          <w:p>
            <w:pPr>
              <w:ind w:left="100"/>
              <w:spacing w:after="0"/>
              <w:rPr>
                <w:sz w:val="20"/>
                <w:szCs w:val="20"/>
                <w:color w:val="auto"/>
              </w:rPr>
            </w:pPr>
            <w:r>
              <w:rPr>
                <w:rFonts w:ascii="Arial" w:cs="Arial" w:eastAsia="Arial" w:hAnsi="Arial"/>
                <w:sz w:val="16"/>
                <w:szCs w:val="16"/>
                <w:color w:val="auto"/>
              </w:rPr>
              <w:t>External Net Revenues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404.0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423.6</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40" w:type="dxa"/>
            <w:vAlign w:val="bottom"/>
            <w:gridSpan w:val="7"/>
          </w:tcPr>
          <w:p>
            <w:pPr>
              <w:ind w:left="100"/>
              <w:spacing w:after="0"/>
              <w:rPr>
                <w:sz w:val="20"/>
                <w:szCs w:val="20"/>
                <w:color w:val="auto"/>
              </w:rPr>
            </w:pPr>
            <w:r>
              <w:rPr>
                <w:rFonts w:ascii="Arial" w:cs="Arial" w:eastAsia="Arial" w:hAnsi="Arial"/>
                <w:sz w:val="16"/>
                <w:szCs w:val="16"/>
                <w:color w:val="auto"/>
              </w:rPr>
              <w:t>Operating Profit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181.2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181.2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203.4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203.4</w:t>
            </w:r>
          </w:p>
        </w:tc>
        <w:tc>
          <w:tcPr>
            <w:tcW w:w="2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940" w:type="dxa"/>
            <w:vAlign w:val="bottom"/>
            <w:gridSpan w:val="7"/>
            <w:shd w:val="clear" w:color="auto" w:fill="CCEEFF"/>
          </w:tcPr>
          <w:p>
            <w:pPr>
              <w:ind w:left="100"/>
              <w:spacing w:after="0"/>
              <w:rPr>
                <w:sz w:val="20"/>
                <w:szCs w:val="20"/>
                <w:color w:val="auto"/>
              </w:rPr>
            </w:pPr>
            <w:r>
              <w:rPr>
                <w:rFonts w:ascii="Arial" w:cs="Arial" w:eastAsia="Arial" w:hAnsi="Arial"/>
                <w:sz w:val="16"/>
                <w:szCs w:val="16"/>
                <w:color w:val="auto"/>
              </w:rPr>
              <w:t>Operating Margin</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44.9 %</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48.0 %</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99"/>
              </w:rPr>
              <w:t>Entertainment:</w:t>
            </w:r>
          </w:p>
        </w:tc>
        <w:tc>
          <w:tcPr>
            <w:tcW w:w="1880" w:type="dxa"/>
            <w:vAlign w:val="bottom"/>
            <w:tcBorders>
              <w:bottom w:val="single" w:sz="8" w:color="CCEEFF"/>
            </w:tcBorders>
            <w:gridSpan w:val="6"/>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40" w:type="dxa"/>
            <w:vAlign w:val="bottom"/>
            <w:gridSpan w:val="7"/>
          </w:tcPr>
          <w:p>
            <w:pPr>
              <w:ind w:left="100"/>
              <w:spacing w:after="0"/>
              <w:rPr>
                <w:sz w:val="20"/>
                <w:szCs w:val="20"/>
                <w:color w:val="auto"/>
              </w:rPr>
            </w:pPr>
            <w:r>
              <w:rPr>
                <w:rFonts w:ascii="Arial" w:cs="Arial" w:eastAsia="Arial" w:hAnsi="Arial"/>
                <w:sz w:val="16"/>
                <w:szCs w:val="16"/>
                <w:color w:val="auto"/>
              </w:rPr>
              <w:t>External Net Revenues</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17.2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17.2</w:t>
            </w:r>
          </w:p>
        </w:tc>
        <w:tc>
          <w:tcPr>
            <w:tcW w:w="1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122.9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122.9</w:t>
            </w:r>
          </w:p>
        </w:tc>
        <w:tc>
          <w:tcPr>
            <w:tcW w:w="2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940" w:type="dxa"/>
            <w:vAlign w:val="bottom"/>
            <w:gridSpan w:val="7"/>
            <w:shd w:val="clear" w:color="auto" w:fill="CCEEFF"/>
          </w:tcPr>
          <w:p>
            <w:pPr>
              <w:ind w:left="100"/>
              <w:spacing w:after="0"/>
              <w:rPr>
                <w:sz w:val="20"/>
                <w:szCs w:val="20"/>
                <w:color w:val="auto"/>
              </w:rPr>
            </w:pPr>
            <w:r>
              <w:rPr>
                <w:rFonts w:ascii="Arial" w:cs="Arial" w:eastAsia="Arial" w:hAnsi="Arial"/>
                <w:sz w:val="16"/>
                <w:szCs w:val="16"/>
                <w:color w:val="auto"/>
              </w:rPr>
              <w:t>Operating Profit (Loss)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476.6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40" w:type="dxa"/>
            <w:vAlign w:val="bottom"/>
            <w:gridSpan w:val="7"/>
          </w:tcPr>
          <w:p>
            <w:pPr>
              <w:ind w:left="100"/>
              <w:spacing w:after="0"/>
              <w:rPr>
                <w:sz w:val="20"/>
                <w:szCs w:val="20"/>
                <w:color w:val="auto"/>
              </w:rPr>
            </w:pPr>
            <w:r>
              <w:rPr>
                <w:rFonts w:ascii="Arial" w:cs="Arial" w:eastAsia="Arial" w:hAnsi="Arial"/>
                <w:sz w:val="16"/>
                <w:szCs w:val="16"/>
                <w:color w:val="auto"/>
              </w:rPr>
              <w:t>Operating Margin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57.0 %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76.7 %</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&gt;-100%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&gt;100%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6.6 %</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40" w:type="dxa"/>
            <w:vAlign w:val="bottom"/>
            <w:gridSpan w:val="7"/>
          </w:tcPr>
          <w:p>
            <w:pPr>
              <w:spacing w:after="0" w:line="175" w:lineRule="exact"/>
              <w:rPr>
                <w:sz w:val="20"/>
                <w:szCs w:val="20"/>
                <w:color w:val="auto"/>
              </w:rPr>
            </w:pPr>
            <w:r>
              <w:rPr>
                <w:rFonts w:ascii="Arial" w:cs="Arial" w:eastAsia="Arial" w:hAnsi="Arial"/>
                <w:sz w:val="16"/>
                <w:szCs w:val="16"/>
                <w:color w:val="auto"/>
              </w:rPr>
              <w:t>Corporate and Other:</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940" w:type="dxa"/>
            <w:vAlign w:val="bottom"/>
            <w:gridSpan w:val="7"/>
            <w:shd w:val="clear" w:color="auto" w:fill="CCEEFF"/>
          </w:tcPr>
          <w:p>
            <w:pPr>
              <w:ind w:left="100"/>
              <w:spacing w:after="0"/>
              <w:rPr>
                <w:sz w:val="20"/>
                <w:szCs w:val="20"/>
                <w:color w:val="auto"/>
              </w:rPr>
            </w:pPr>
            <w:r>
              <w:rPr>
                <w:rFonts w:ascii="Arial" w:cs="Arial" w:eastAsia="Arial" w:hAnsi="Arial"/>
                <w:sz w:val="16"/>
                <w:szCs w:val="16"/>
                <w:color w:val="auto"/>
              </w:rPr>
              <w:t>Operating Profit (Loss)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24.1</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800" w:hanging="144"/>
        <w:spacing w:after="0"/>
        <w:tabs>
          <w:tab w:leader="none" w:pos="80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Amounts within this section may not sum due to rounding</w:t>
      </w:r>
    </w:p>
    <w:p>
      <w:pPr>
        <w:sectPr>
          <w:pgSz w:w="11900" w:h="16838" w:orient="portrait"/>
          <w:cols w:equalWidth="0" w:num="1">
            <w:col w:w="11100"/>
          </w:cols>
          <w:pgMar w:left="320" w:top="1037" w:right="479" w:bottom="1440" w:gutter="0" w:footer="0" w:header="0"/>
        </w:sectPr>
      </w:pPr>
    </w:p>
    <w:bookmarkStart w:id="12" w:name="page13"/>
    <w:bookmarkEnd w:id="12"/>
    <w:p>
      <w:pPr>
        <w:spacing w:after="0" w:line="144" w:lineRule="exact"/>
        <w:rPr>
          <w:sz w:val="20"/>
          <w:szCs w:val="20"/>
          <w:color w:val="auto"/>
        </w:rPr>
      </w:pPr>
    </w:p>
    <w:tbl>
      <w:tblPr>
        <w:tblLayout w:type="fixed"/>
        <w:tblInd w:w="4"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Revenues by Brand Portfolio</w:t>
            </w:r>
          </w:p>
        </w:tc>
        <w:tc>
          <w:tcPr>
            <w:tcW w:w="12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September 29,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October 1, 2023</w:t>
            </w:r>
          </w:p>
        </w:tc>
        <w:tc>
          <w:tcPr>
            <w:tcW w:w="12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59"/>
              <w:spacing w:after="0" w:line="175" w:lineRule="exact"/>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52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120"/>
              <w:spacing w:after="0" w:line="210" w:lineRule="exact"/>
              <w:rPr>
                <w:sz w:val="20"/>
                <w:szCs w:val="20"/>
                <w:color w:val="auto"/>
              </w:rPr>
            </w:pPr>
            <w:r>
              <w:rPr>
                <w:rFonts w:ascii="Arial" w:cs="Arial" w:eastAsia="Arial" w:hAnsi="Arial"/>
                <w:sz w:val="16"/>
                <w:szCs w:val="16"/>
                <w:color w:val="auto"/>
              </w:rPr>
              <w:t xml:space="preserve">Franchise Brands </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gridSpan w:val="2"/>
          </w:tcPr>
          <w:p>
            <w:pPr>
              <w:ind w:left="120"/>
              <w:spacing w:after="0"/>
              <w:rPr>
                <w:sz w:val="20"/>
                <w:szCs w:val="20"/>
                <w:color w:val="auto"/>
              </w:rPr>
            </w:pPr>
            <w:r>
              <w:rPr>
                <w:rFonts w:ascii="Arial" w:cs="Arial" w:eastAsia="Arial" w:hAnsi="Arial"/>
                <w:sz w:val="16"/>
                <w:szCs w:val="16"/>
                <w:color w:val="auto"/>
              </w:rPr>
              <w:t>Partner Brands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120"/>
              <w:spacing w:after="0" w:line="217" w:lineRule="exact"/>
              <w:rPr>
                <w:sz w:val="20"/>
                <w:szCs w:val="20"/>
                <w:color w:val="auto"/>
              </w:rPr>
            </w:pPr>
            <w:r>
              <w:rPr>
                <w:rFonts w:ascii="Arial" w:cs="Arial" w:eastAsia="Arial" w:hAnsi="Arial"/>
                <w:sz w:val="16"/>
                <w:szCs w:val="16"/>
                <w:color w:val="auto"/>
              </w:rPr>
              <w:t xml:space="preserve">Portfolio Brands </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5060" w:type="dxa"/>
            <w:vAlign w:val="bottom"/>
            <w:tcBorders>
              <w:bottom w:val="single" w:sz="8" w:color="CCEEFF"/>
            </w:tcBorders>
            <w:gridSpan w:val="2"/>
          </w:tcPr>
          <w:p>
            <w:pPr>
              <w:ind w:left="120"/>
              <w:spacing w:after="0" w:line="216" w:lineRule="exact"/>
              <w:rPr>
                <w:sz w:val="20"/>
                <w:szCs w:val="20"/>
                <w:color w:val="auto"/>
              </w:rPr>
            </w:pPr>
            <w:r>
              <w:rPr>
                <w:rFonts w:ascii="Arial" w:cs="Arial" w:eastAsia="Arial" w:hAnsi="Arial"/>
                <w:sz w:val="16"/>
                <w:szCs w:val="16"/>
                <w:color w:val="auto"/>
              </w:rPr>
              <w:t xml:space="preserve">Non-Hasbro Branded Film &amp; TV </w:t>
            </w:r>
            <w:r>
              <w:rPr>
                <w:rFonts w:ascii="Arial" w:cs="Arial" w:eastAsia="Arial" w:hAnsi="Arial"/>
                <w:sz w:val="21"/>
                <w:szCs w:val="21"/>
                <w:color w:val="auto"/>
                <w:vertAlign w:val="superscript"/>
              </w:rPr>
              <w:t>(2)</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50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1,503.4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4" w:right="260" w:hanging="4"/>
        <w:spacing w:after="0" w:line="222" w:lineRule="auto"/>
        <w:tabs>
          <w:tab w:leader="none" w:pos="177"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Franchise Brands include: DUNGEONS &amp; DRAGONS, Hasbro Gaming, MAGIC: THE GATHERING, NERF, PEPPA PIG, PLAY-DOH and TRANSFORMERS.</w:t>
      </w:r>
    </w:p>
    <w:p>
      <w:pPr>
        <w:ind w:left="4" w:hanging="4"/>
        <w:spacing w:after="0" w:line="256" w:lineRule="auto"/>
        <w:tabs>
          <w:tab w:leader="none" w:pos="162"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Effective in the first quarter of 2024, the Company moved the remaining Non-Hasbro Branded Film &amp; TV brands into Portfolio Brands to align with the Company's Brand Strategy. For comparability net revenues for the three months ended October 1, 2023, have been restated to reflect the movement, resulting in a change of $0.3.</w:t>
      </w:r>
    </w:p>
    <w:p>
      <w:pPr>
        <w:spacing w:after="0" w:line="200" w:lineRule="exact"/>
        <w:rPr>
          <w:sz w:val="20"/>
          <w:szCs w:val="20"/>
          <w:color w:val="auto"/>
        </w:rPr>
      </w:pPr>
    </w:p>
    <w:p>
      <w:pPr>
        <w:spacing w:after="0" w:line="303" w:lineRule="exact"/>
        <w:rPr>
          <w:sz w:val="20"/>
          <w:szCs w:val="20"/>
          <w:color w:val="auto"/>
        </w:rPr>
      </w:pPr>
    </w:p>
    <w:tbl>
      <w:tblPr>
        <w:tblLayout w:type="fixed"/>
        <w:tblInd w:w="4" w:type="dxa"/>
        <w:tblCellMar>
          <w:top w:w="0" w:type="dxa"/>
          <w:left w:w="0" w:type="dxa"/>
          <w:bottom w:w="0" w:type="dxa"/>
          <w:right w:w="0" w:type="dxa"/>
        </w:tblCellMar>
      </w:tblPr>
      <w:tr>
        <w:trPr>
          <w:trHeight w:val="217"/>
        </w:trPr>
        <w:tc>
          <w:tcPr>
            <w:tcW w:w="5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12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September 29,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October 1, 2023</w:t>
            </w:r>
          </w:p>
        </w:tc>
        <w:tc>
          <w:tcPr>
            <w:tcW w:w="12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4"/>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MAGIC: THE GATHERING</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296.3</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82"/>
        </w:trPr>
        <w:tc>
          <w:tcPr>
            <w:tcW w:w="5080" w:type="dxa"/>
            <w:vAlign w:val="bottom"/>
          </w:tcPr>
          <w:p>
            <w:pPr>
              <w:ind w:left="20"/>
              <w:spacing w:after="0"/>
              <w:rPr>
                <w:sz w:val="20"/>
                <w:szCs w:val="20"/>
                <w:color w:val="auto"/>
              </w:rPr>
            </w:pPr>
            <w:r>
              <w:rPr>
                <w:rFonts w:ascii="Arial" w:cs="Arial" w:eastAsia="Arial" w:hAnsi="Arial"/>
                <w:sz w:val="16"/>
                <w:szCs w:val="16"/>
                <w:color w:val="auto"/>
              </w:rPr>
              <w:t xml:space="preserve">Hasbro Total Gaming </w:t>
            </w:r>
            <w:r>
              <w:rPr>
                <w:rFonts w:ascii="Arial" w:cs="Arial" w:eastAsia="Arial" w:hAnsi="Arial"/>
                <w:sz w:val="21"/>
                <w:szCs w:val="21"/>
                <w:color w:val="auto"/>
                <w:vertAlign w:val="superscript"/>
              </w:rPr>
              <w:t>(1)</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593.2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628.0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 w:right="240" w:hanging="4"/>
        <w:spacing w:after="0" w:line="235" w:lineRule="auto"/>
        <w:tabs>
          <w:tab w:leader="none" w:pos="177"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Hasbro Total Gaming includes all gaming revenue, most notably DUNGEONS &amp; DRAGONS, MAGIC: THE GATHERING and Hasbro Gaming.</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tcBorders>
              <w:bottom w:val="single" w:sz="8" w:color="auto"/>
            </w:tcBorders>
          </w:tcPr>
          <w:p>
            <w:pPr>
              <w:spacing w:after="0"/>
              <w:rPr>
                <w:sz w:val="18"/>
                <w:szCs w:val="18"/>
                <w:color w:val="auto"/>
              </w:rPr>
            </w:pPr>
          </w:p>
        </w:tc>
      </w:tr>
      <w:tr>
        <w:trPr>
          <w:trHeight w:val="169"/>
        </w:trPr>
        <w:tc>
          <w:tcPr>
            <w:tcW w:w="20" w:type="dxa"/>
            <w:vAlign w:val="bottom"/>
          </w:tcPr>
          <w:p>
            <w:pPr>
              <w:spacing w:after="0"/>
              <w:rPr>
                <w:sz w:val="14"/>
                <w:szCs w:val="14"/>
                <w:color w:val="auto"/>
              </w:rPr>
            </w:pPr>
          </w:p>
        </w:tc>
        <w:tc>
          <w:tcPr>
            <w:tcW w:w="5060" w:type="dxa"/>
            <w:vAlign w:val="bottom"/>
            <w:gridSpan w:val="3"/>
          </w:tcPr>
          <w:p>
            <w:pPr>
              <w:spacing w:after="0" w:line="169" w:lineRule="exact"/>
              <w:rPr>
                <w:sz w:val="20"/>
                <w:szCs w:val="20"/>
                <w:color w:val="auto"/>
              </w:rPr>
            </w:pPr>
            <w:r>
              <w:rPr>
                <w:rFonts w:ascii="Arial" w:cs="Arial" w:eastAsia="Arial" w:hAnsi="Arial"/>
                <w:sz w:val="16"/>
                <w:szCs w:val="16"/>
                <w:b w:val="1"/>
                <w:bCs w:val="1"/>
                <w:color w:val="auto"/>
              </w:rPr>
              <w:t>Consumer Products Segment Net Revenues by Major</w:t>
            </w:r>
          </w:p>
        </w:tc>
        <w:tc>
          <w:tcPr>
            <w:tcW w:w="1260" w:type="dxa"/>
            <w:vAlign w:val="bottom"/>
            <w:gridSpan w:val="2"/>
          </w:tcPr>
          <w:p>
            <w:pPr>
              <w:jc w:val="right"/>
              <w:spacing w:after="0" w:line="169" w:lineRule="exact"/>
              <w:rPr>
                <w:sz w:val="20"/>
                <w:szCs w:val="20"/>
                <w:color w:val="auto"/>
              </w:rPr>
            </w:pPr>
            <w:r>
              <w:rPr>
                <w:rFonts w:ascii="Arial" w:cs="Arial" w:eastAsia="Arial" w:hAnsi="Arial"/>
                <w:sz w:val="16"/>
                <w:szCs w:val="16"/>
                <w:b w:val="1"/>
                <w:bCs w:val="1"/>
                <w:color w:val="auto"/>
              </w:rPr>
              <w:t>September 29,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6"/>
                <w:szCs w:val="16"/>
                <w:b w:val="1"/>
                <w:bCs w:val="1"/>
                <w:color w:val="auto"/>
              </w:rPr>
              <w:t>Geographic Region</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359"/>
              <w:spacing w:after="0" w:line="142" w:lineRule="exact"/>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ind w:left="40"/>
              <w:spacing w:after="0" w:line="142" w:lineRule="exact"/>
              <w:rPr>
                <w:sz w:val="20"/>
                <w:szCs w:val="20"/>
                <w:color w:val="auto"/>
              </w:rPr>
            </w:pPr>
            <w:r>
              <w:rPr>
                <w:rFonts w:ascii="Arial" w:cs="Arial" w:eastAsia="Arial" w:hAnsi="Arial"/>
                <w:sz w:val="16"/>
                <w:szCs w:val="16"/>
                <w:b w:val="1"/>
                <w:bCs w:val="1"/>
                <w:color w:val="auto"/>
              </w:rPr>
              <w:t>October 1, 2023</w:t>
            </w:r>
          </w:p>
        </w:tc>
        <w:tc>
          <w:tcPr>
            <w:tcW w:w="1200" w:type="dxa"/>
            <w:vAlign w:val="bottom"/>
          </w:tcPr>
          <w:p>
            <w:pPr>
              <w:jc w:val="right"/>
              <w:ind w:right="219"/>
              <w:spacing w:after="0" w:line="142" w:lineRule="exact"/>
              <w:rPr>
                <w:sz w:val="20"/>
                <w:szCs w:val="20"/>
                <w:color w:val="auto"/>
              </w:rPr>
            </w:pPr>
            <w:r>
              <w:rPr>
                <w:rFonts w:ascii="Arial" w:cs="Arial" w:eastAsia="Arial" w:hAnsi="Arial"/>
                <w:sz w:val="16"/>
                <w:szCs w:val="16"/>
                <w:b w:val="1"/>
                <w:bCs w:val="1"/>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0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North America</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15"/>
        </w:trPr>
        <w:tc>
          <w:tcPr>
            <w:tcW w:w="20" w:type="dxa"/>
            <w:vAlign w:val="bottom"/>
          </w:tcPr>
          <w:p>
            <w:pPr>
              <w:spacing w:after="0"/>
              <w:rPr>
                <w:sz w:val="18"/>
                <w:szCs w:val="18"/>
                <w:color w:val="auto"/>
              </w:rPr>
            </w:pPr>
          </w:p>
        </w:tc>
        <w:tc>
          <w:tcPr>
            <w:tcW w:w="5060" w:type="dxa"/>
            <w:vAlign w:val="bottom"/>
            <w:gridSpan w:val="3"/>
          </w:tcPr>
          <w:p>
            <w:pPr>
              <w:ind w:left="120"/>
              <w:spacing w:after="0"/>
              <w:rPr>
                <w:sz w:val="20"/>
                <w:szCs w:val="20"/>
                <w:color w:val="auto"/>
              </w:rPr>
            </w:pPr>
            <w:r>
              <w:rPr>
                <w:rFonts w:ascii="Arial" w:cs="Arial" w:eastAsia="Arial" w:hAnsi="Arial"/>
                <w:sz w:val="16"/>
                <w:szCs w:val="16"/>
                <w:color w:val="auto"/>
              </w:rPr>
              <w:t>Europe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217"/>
        </w:trPr>
        <w:tc>
          <w:tcPr>
            <w:tcW w:w="20" w:type="dxa"/>
            <w:vAlign w:val="bottom"/>
            <w:shd w:val="clear" w:color="auto" w:fill="CCEEFF"/>
          </w:tcPr>
          <w:p>
            <w:pPr>
              <w:spacing w:after="0"/>
              <w:rPr>
                <w:sz w:val="18"/>
                <w:szCs w:val="18"/>
                <w:color w:val="auto"/>
              </w:rPr>
            </w:pPr>
          </w:p>
        </w:tc>
        <w:tc>
          <w:tcPr>
            <w:tcW w:w="50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Asia Pacific</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15"/>
        </w:trPr>
        <w:tc>
          <w:tcPr>
            <w:tcW w:w="20" w:type="dxa"/>
            <w:vAlign w:val="bottom"/>
            <w:tcBorders>
              <w:bottom w:val="single" w:sz="8" w:color="CCEEFF"/>
            </w:tcBorders>
          </w:tcPr>
          <w:p>
            <w:pPr>
              <w:spacing w:after="0"/>
              <w:rPr>
                <w:sz w:val="18"/>
                <w:szCs w:val="18"/>
                <w:color w:val="auto"/>
              </w:rPr>
            </w:pPr>
          </w:p>
        </w:tc>
        <w:tc>
          <w:tcPr>
            <w:tcW w:w="506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Latin America</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50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Net revenues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860.1</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4"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tcBorders>
              <w:bottom w:val="single" w:sz="8" w:color="auto"/>
            </w:tcBorders>
          </w:tcPr>
          <w:p>
            <w:pPr>
              <w:spacing w:after="0"/>
              <w:rPr>
                <w:sz w:val="18"/>
                <w:szCs w:val="18"/>
                <w:color w:val="auto"/>
              </w:rPr>
            </w:pPr>
          </w:p>
        </w:tc>
      </w:tr>
      <w:tr>
        <w:trPr>
          <w:trHeight w:val="169"/>
        </w:trPr>
        <w:tc>
          <w:tcPr>
            <w:tcW w:w="20" w:type="dxa"/>
            <w:vAlign w:val="bottom"/>
          </w:tcPr>
          <w:p>
            <w:pPr>
              <w:spacing w:after="0"/>
              <w:rPr>
                <w:sz w:val="14"/>
                <w:szCs w:val="14"/>
                <w:color w:val="auto"/>
              </w:rPr>
            </w:pPr>
          </w:p>
        </w:tc>
        <w:tc>
          <w:tcPr>
            <w:tcW w:w="5060" w:type="dxa"/>
            <w:vAlign w:val="bottom"/>
            <w:gridSpan w:val="3"/>
          </w:tcPr>
          <w:p>
            <w:pPr>
              <w:spacing w:after="0" w:line="169" w:lineRule="exact"/>
              <w:rPr>
                <w:sz w:val="20"/>
                <w:szCs w:val="20"/>
                <w:color w:val="auto"/>
              </w:rPr>
            </w:pPr>
            <w:r>
              <w:rPr>
                <w:rFonts w:ascii="Arial" w:cs="Arial" w:eastAsia="Arial" w:hAnsi="Arial"/>
                <w:sz w:val="16"/>
                <w:szCs w:val="16"/>
                <w:b w:val="1"/>
                <w:bCs w:val="1"/>
                <w:color w:val="auto"/>
              </w:rPr>
              <w:t>Wizards of the Coast and Digital Gaming Net Revenues by</w:t>
            </w:r>
          </w:p>
        </w:tc>
        <w:tc>
          <w:tcPr>
            <w:tcW w:w="1260" w:type="dxa"/>
            <w:vAlign w:val="bottom"/>
            <w:gridSpan w:val="2"/>
          </w:tcPr>
          <w:p>
            <w:pPr>
              <w:jc w:val="right"/>
              <w:spacing w:after="0" w:line="169" w:lineRule="exact"/>
              <w:rPr>
                <w:sz w:val="20"/>
                <w:szCs w:val="20"/>
                <w:color w:val="auto"/>
              </w:rPr>
            </w:pPr>
            <w:r>
              <w:rPr>
                <w:rFonts w:ascii="Arial" w:cs="Arial" w:eastAsia="Arial" w:hAnsi="Arial"/>
                <w:sz w:val="16"/>
                <w:szCs w:val="16"/>
                <w:b w:val="1"/>
                <w:bCs w:val="1"/>
                <w:color w:val="auto"/>
              </w:rPr>
              <w:t>September 29,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6"/>
                <w:szCs w:val="16"/>
                <w:b w:val="1"/>
                <w:bCs w:val="1"/>
                <w:color w:val="auto"/>
              </w:rPr>
              <w:t>Category</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359"/>
              <w:spacing w:after="0" w:line="142" w:lineRule="exact"/>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ind w:left="40"/>
              <w:spacing w:after="0" w:line="142" w:lineRule="exact"/>
              <w:rPr>
                <w:sz w:val="20"/>
                <w:szCs w:val="20"/>
                <w:color w:val="auto"/>
              </w:rPr>
            </w:pPr>
            <w:r>
              <w:rPr>
                <w:rFonts w:ascii="Arial" w:cs="Arial" w:eastAsia="Arial" w:hAnsi="Arial"/>
                <w:sz w:val="16"/>
                <w:szCs w:val="16"/>
                <w:b w:val="1"/>
                <w:bCs w:val="1"/>
                <w:color w:val="auto"/>
              </w:rPr>
              <w:t>October 1, 2023</w:t>
            </w:r>
          </w:p>
        </w:tc>
        <w:tc>
          <w:tcPr>
            <w:tcW w:w="1200" w:type="dxa"/>
            <w:vAlign w:val="bottom"/>
          </w:tcPr>
          <w:p>
            <w:pPr>
              <w:jc w:val="right"/>
              <w:ind w:right="219"/>
              <w:spacing w:after="0" w:line="142" w:lineRule="exact"/>
              <w:rPr>
                <w:sz w:val="20"/>
                <w:szCs w:val="20"/>
                <w:color w:val="auto"/>
              </w:rPr>
            </w:pPr>
            <w:r>
              <w:rPr>
                <w:rFonts w:ascii="Arial" w:cs="Arial" w:eastAsia="Arial" w:hAnsi="Arial"/>
                <w:sz w:val="16"/>
                <w:szCs w:val="16"/>
                <w:b w:val="1"/>
                <w:bCs w:val="1"/>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0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Tabletop Gaming</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15"/>
        </w:trPr>
        <w:tc>
          <w:tcPr>
            <w:tcW w:w="20" w:type="dxa"/>
            <w:vAlign w:val="bottom"/>
            <w:tcBorders>
              <w:bottom w:val="single" w:sz="8" w:color="CCEEFF"/>
            </w:tcBorders>
          </w:tcPr>
          <w:p>
            <w:pPr>
              <w:spacing w:after="0"/>
              <w:rPr>
                <w:sz w:val="18"/>
                <w:szCs w:val="18"/>
                <w:color w:val="auto"/>
              </w:rPr>
            </w:pPr>
          </w:p>
        </w:tc>
        <w:tc>
          <w:tcPr>
            <w:tcW w:w="506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Digital and Licensed Gaming</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50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Net revenues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404.0</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tbl>
      <w:tblPr>
        <w:tblLayout w:type="fixed"/>
        <w:tblInd w:w="4"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Entertainment Segment Net Revenues by Category</w:t>
            </w:r>
          </w:p>
        </w:tc>
        <w:tc>
          <w:tcPr>
            <w:tcW w:w="12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September 29,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October 1, 2023</w:t>
            </w:r>
          </w:p>
        </w:tc>
        <w:tc>
          <w:tcPr>
            <w:tcW w:w="12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59"/>
              <w:spacing w:after="0" w:line="175" w:lineRule="exact"/>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900" w:type="dxa"/>
            <w:vAlign w:val="bottom"/>
            <w:tcBorders>
              <w:top w:val="single" w:sz="8" w:color="auto"/>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Film and TV</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50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Family Brands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50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Net revenues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904"/>
          </w:cols>
          <w:pgMar w:left="976" w:top="1440" w:right="101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7"/>
          </w:tcPr>
          <w:p>
            <w:pPr>
              <w:jc w:val="right"/>
              <w:ind w:right="119"/>
              <w:spacing w:after="0"/>
              <w:rPr>
                <w:sz w:val="20"/>
                <w:szCs w:val="20"/>
                <w:color w:val="auto"/>
              </w:rPr>
            </w:pPr>
            <w:r>
              <w:rPr>
                <w:rFonts w:ascii="Arial" w:cs="Arial" w:eastAsia="Arial" w:hAnsi="Arial"/>
                <w:sz w:val="16"/>
                <w:szCs w:val="16"/>
                <w:b w:val="1"/>
                <w:bCs w:val="1"/>
                <w:color w:val="auto"/>
              </w:rPr>
              <w:t>Nine Months Ended September 29, 2024</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7"/>
          </w:tcPr>
          <w:p>
            <w:pPr>
              <w:jc w:val="right"/>
              <w:ind w:right="259"/>
              <w:spacing w:after="0"/>
              <w:rPr>
                <w:sz w:val="20"/>
                <w:szCs w:val="20"/>
                <w:color w:val="auto"/>
              </w:rPr>
            </w:pPr>
            <w:r>
              <w:rPr>
                <w:rFonts w:ascii="Arial" w:cs="Arial" w:eastAsia="Arial" w:hAnsi="Arial"/>
                <w:sz w:val="16"/>
                <w:szCs w:val="16"/>
                <w:b w:val="1"/>
                <w:bCs w:val="1"/>
                <w:color w:val="auto"/>
              </w:rPr>
              <w:t>Nine Months Ended October 1, 2023</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 xml:space="preserve">Operating Results </w:t>
            </w:r>
            <w:r>
              <w:rPr>
                <w:rFonts w:ascii="Arial" w:cs="Arial" w:eastAsia="Arial" w:hAnsi="Arial"/>
                <w:sz w:val="23"/>
                <w:szCs w:val="23"/>
                <w:b w:val="1"/>
                <w:bCs w:val="1"/>
                <w:color w:val="auto"/>
                <w:vertAlign w:val="superscript"/>
              </w:rPr>
              <w:t>(1)</w:t>
            </w:r>
          </w:p>
        </w:tc>
        <w:tc>
          <w:tcPr>
            <w:tcW w:w="12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As Reported</w:t>
            </w:r>
          </w:p>
        </w:tc>
        <w:tc>
          <w:tcPr>
            <w:tcW w:w="120" w:type="dxa"/>
            <w:vAlign w:val="bottom"/>
          </w:tcPr>
          <w:p>
            <w:pPr>
              <w:spacing w:after="0"/>
              <w:rPr>
                <w:sz w:val="13"/>
                <w:szCs w:val="13"/>
                <w:color w:val="auto"/>
              </w:rPr>
            </w:pPr>
          </w:p>
        </w:tc>
        <w:tc>
          <w:tcPr>
            <w:tcW w:w="120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rPr>
              <w:t>Non-GAAP</w:t>
            </w:r>
          </w:p>
        </w:tc>
        <w:tc>
          <w:tcPr>
            <w:tcW w:w="120" w:type="dxa"/>
            <w:vAlign w:val="bottom"/>
          </w:tcPr>
          <w:p>
            <w:pPr>
              <w:spacing w:after="0"/>
              <w:rPr>
                <w:sz w:val="13"/>
                <w:szCs w:val="13"/>
                <w:color w:val="auto"/>
              </w:rPr>
            </w:pPr>
          </w:p>
        </w:tc>
        <w:tc>
          <w:tcPr>
            <w:tcW w:w="9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Adjusted</w:t>
            </w:r>
          </w:p>
        </w:tc>
        <w:tc>
          <w:tcPr>
            <w:tcW w:w="12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As Reported</w:t>
            </w:r>
          </w:p>
        </w:tc>
        <w:tc>
          <w:tcPr>
            <w:tcW w:w="120" w:type="dxa"/>
            <w:vAlign w:val="bottom"/>
          </w:tcPr>
          <w:p>
            <w:pPr>
              <w:spacing w:after="0"/>
              <w:rPr>
                <w:sz w:val="13"/>
                <w:szCs w:val="13"/>
                <w:color w:val="auto"/>
              </w:rPr>
            </w:pPr>
          </w:p>
        </w:tc>
        <w:tc>
          <w:tcPr>
            <w:tcW w:w="120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rPr>
              <w:t>Non-GAAP</w:t>
            </w:r>
          </w:p>
        </w:tc>
        <w:tc>
          <w:tcPr>
            <w:tcW w:w="100" w:type="dxa"/>
            <w:vAlign w:val="bottom"/>
          </w:tcPr>
          <w:p>
            <w:pPr>
              <w:spacing w:after="0"/>
              <w:rPr>
                <w:sz w:val="13"/>
                <w:szCs w:val="13"/>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Adjusted</w:t>
            </w:r>
          </w:p>
        </w:tc>
        <w:tc>
          <w:tcPr>
            <w:tcW w:w="6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0" w:type="dxa"/>
            <w:vAlign w:val="bottom"/>
            <w:gridSpan w:val="8"/>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80"/>
              <w:spacing w:after="0" w:line="175" w:lineRule="exact"/>
              <w:rPr>
                <w:sz w:val="20"/>
                <w:szCs w:val="20"/>
                <w:color w:val="auto"/>
              </w:rPr>
            </w:pPr>
            <w:r>
              <w:rPr>
                <w:rFonts w:ascii="Arial" w:cs="Arial" w:eastAsia="Arial" w:hAnsi="Arial"/>
                <w:sz w:val="16"/>
                <w:szCs w:val="16"/>
                <w:b w:val="1"/>
                <w:bCs w:val="1"/>
                <w:color w:val="auto"/>
              </w:rPr>
              <w:t>Adjustments</w:t>
            </w: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rPr>
              <w:t>Adjustments</w:t>
            </w: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80" w:type="dxa"/>
            <w:vAlign w:val="bottom"/>
          </w:tcPr>
          <w:p>
            <w:pPr>
              <w:ind w:left="40"/>
              <w:spacing w:after="0" w:line="175" w:lineRule="exact"/>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auto"/>
            </w:tcBorders>
            <w:gridSpan w:val="6"/>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Total Company Results</w:t>
            </w:r>
          </w:p>
        </w:tc>
        <w:tc>
          <w:tcPr>
            <w:tcW w:w="120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0" w:type="dxa"/>
            <w:vAlign w:val="bottom"/>
            <w:gridSpan w:val="8"/>
          </w:tcPr>
          <w:p>
            <w:pPr>
              <w:ind w:left="120"/>
              <w:spacing w:after="0"/>
              <w:rPr>
                <w:sz w:val="20"/>
                <w:szCs w:val="20"/>
                <w:color w:val="auto"/>
              </w:rPr>
            </w:pPr>
            <w:r>
              <w:rPr>
                <w:rFonts w:ascii="Arial" w:cs="Arial" w:eastAsia="Arial" w:hAnsi="Arial"/>
                <w:sz w:val="16"/>
                <w:szCs w:val="16"/>
                <w:color w:val="auto"/>
              </w:rPr>
              <w:t>External Net Revenues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3,033.9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3,033.9</w:t>
            </w:r>
          </w:p>
        </w:tc>
        <w:tc>
          <w:tcPr>
            <w:tcW w:w="16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3,714.4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3,714.4</w:t>
            </w:r>
          </w:p>
        </w:tc>
        <w:tc>
          <w:tcPr>
            <w:tcW w:w="2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00" w:type="dxa"/>
            <w:vAlign w:val="bottom"/>
            <w:gridSpan w:val="8"/>
            <w:shd w:val="clear" w:color="auto" w:fill="CCEEFF"/>
          </w:tcPr>
          <w:p>
            <w:pPr>
              <w:ind w:left="120"/>
              <w:spacing w:after="0"/>
              <w:rPr>
                <w:sz w:val="20"/>
                <w:szCs w:val="20"/>
                <w:color w:val="auto"/>
              </w:rPr>
            </w:pPr>
            <w:r>
              <w:rPr>
                <w:rFonts w:ascii="Arial" w:cs="Arial" w:eastAsia="Arial" w:hAnsi="Arial"/>
                <w:sz w:val="16"/>
                <w:szCs w:val="16"/>
                <w:color w:val="auto"/>
              </w:rPr>
              <w:t>Operating Profit (Loss)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726.1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866.8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526.6</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0" w:type="dxa"/>
            <w:vAlign w:val="bottom"/>
            <w:gridSpan w:val="8"/>
          </w:tcPr>
          <w:p>
            <w:pPr>
              <w:ind w:left="120"/>
              <w:spacing w:after="0"/>
              <w:rPr>
                <w:sz w:val="20"/>
                <w:szCs w:val="20"/>
                <w:color w:val="auto"/>
              </w:rPr>
            </w:pPr>
            <w:r>
              <w:rPr>
                <w:rFonts w:ascii="Arial" w:cs="Arial" w:eastAsia="Arial" w:hAnsi="Arial"/>
                <w:sz w:val="16"/>
                <w:szCs w:val="16"/>
                <w:color w:val="auto"/>
              </w:rPr>
              <w:t>Operating Margin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20.8 %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23.9 %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23.3 %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14.2 %</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0" w:type="dxa"/>
            <w:vAlign w:val="bottom"/>
            <w:gridSpan w:val="8"/>
          </w:tcPr>
          <w:p>
            <w:pPr>
              <w:spacing w:after="0" w:line="175" w:lineRule="exact"/>
              <w:rPr>
                <w:sz w:val="20"/>
                <w:szCs w:val="20"/>
                <w:color w:val="auto"/>
              </w:rPr>
            </w:pPr>
            <w:r>
              <w:rPr>
                <w:rFonts w:ascii="Arial" w:cs="Arial" w:eastAsia="Arial" w:hAnsi="Arial"/>
                <w:sz w:val="16"/>
                <w:szCs w:val="16"/>
                <w:b w:val="1"/>
                <w:bCs w:val="1"/>
                <w:color w:val="auto"/>
              </w:rPr>
              <w:t>Segment Results</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000" w:type="dxa"/>
            <w:vAlign w:val="bottom"/>
            <w:gridSpan w:val="8"/>
            <w:shd w:val="clear" w:color="auto" w:fill="CCEEFF"/>
          </w:tcPr>
          <w:p>
            <w:pPr>
              <w:spacing w:after="0" w:line="175" w:lineRule="exact"/>
              <w:rPr>
                <w:sz w:val="20"/>
                <w:szCs w:val="20"/>
                <w:color w:val="auto"/>
              </w:rPr>
            </w:pPr>
            <w:r>
              <w:rPr>
                <w:rFonts w:ascii="Arial" w:cs="Arial" w:eastAsia="Arial" w:hAnsi="Arial"/>
                <w:sz w:val="16"/>
                <w:szCs w:val="16"/>
                <w:color w:val="auto"/>
              </w:rPr>
              <w:t>Consumer Products:</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3000" w:type="dxa"/>
            <w:vAlign w:val="bottom"/>
            <w:gridSpan w:val="8"/>
          </w:tcPr>
          <w:p>
            <w:pPr>
              <w:ind w:left="120"/>
              <w:spacing w:after="0"/>
              <w:rPr>
                <w:sz w:val="20"/>
                <w:szCs w:val="20"/>
                <w:color w:val="auto"/>
              </w:rPr>
            </w:pPr>
            <w:r>
              <w:rPr>
                <w:rFonts w:ascii="Arial" w:cs="Arial" w:eastAsia="Arial" w:hAnsi="Arial"/>
                <w:sz w:val="16"/>
                <w:szCs w:val="16"/>
                <w:color w:val="auto"/>
              </w:rPr>
              <w:t>External Net Revenues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1,797.6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1,797.6</w:t>
            </w:r>
          </w:p>
        </w:tc>
        <w:tc>
          <w:tcPr>
            <w:tcW w:w="16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2,132.5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2,132.5</w:t>
            </w:r>
          </w:p>
        </w:tc>
        <w:tc>
          <w:tcPr>
            <w:tcW w:w="2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00" w:type="dxa"/>
            <w:vAlign w:val="bottom"/>
            <w:gridSpan w:val="8"/>
            <w:shd w:val="clear" w:color="auto" w:fill="CCEEFF"/>
          </w:tcPr>
          <w:p>
            <w:pPr>
              <w:ind w:left="120"/>
              <w:spacing w:after="0"/>
              <w:rPr>
                <w:sz w:val="20"/>
                <w:szCs w:val="20"/>
                <w:color w:val="auto"/>
              </w:rPr>
            </w:pPr>
            <w:r>
              <w:rPr>
                <w:rFonts w:ascii="Arial" w:cs="Arial" w:eastAsia="Arial" w:hAnsi="Arial"/>
                <w:sz w:val="16"/>
                <w:szCs w:val="16"/>
                <w:color w:val="auto"/>
              </w:rPr>
              <w:t>Operating Profit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93.8</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0" w:type="dxa"/>
            <w:vAlign w:val="bottom"/>
            <w:gridSpan w:val="8"/>
          </w:tcPr>
          <w:p>
            <w:pPr>
              <w:ind w:left="120"/>
              <w:spacing w:after="0"/>
              <w:rPr>
                <w:sz w:val="20"/>
                <w:szCs w:val="20"/>
                <w:color w:val="auto"/>
              </w:rPr>
            </w:pPr>
            <w:r>
              <w:rPr>
                <w:rFonts w:ascii="Arial" w:cs="Arial" w:eastAsia="Arial" w:hAnsi="Arial"/>
                <w:sz w:val="16"/>
                <w:szCs w:val="16"/>
                <w:color w:val="auto"/>
              </w:rPr>
              <w:t>Operating Margin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4.4 %</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0" w:type="dxa"/>
            <w:vAlign w:val="bottom"/>
            <w:gridSpan w:val="8"/>
          </w:tcPr>
          <w:p>
            <w:pPr>
              <w:spacing w:after="0" w:line="175" w:lineRule="exact"/>
              <w:rPr>
                <w:sz w:val="20"/>
                <w:szCs w:val="20"/>
                <w:color w:val="auto"/>
              </w:rPr>
            </w:pPr>
            <w:r>
              <w:rPr>
                <w:rFonts w:ascii="Arial" w:cs="Arial" w:eastAsia="Arial" w:hAnsi="Arial"/>
                <w:sz w:val="16"/>
                <w:szCs w:val="16"/>
                <w:color w:val="auto"/>
              </w:rPr>
              <w:t>Wizards of the Coast and Digital Gaming:</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000" w:type="dxa"/>
            <w:vAlign w:val="bottom"/>
            <w:gridSpan w:val="8"/>
            <w:shd w:val="clear" w:color="auto" w:fill="CCEEFF"/>
          </w:tcPr>
          <w:p>
            <w:pPr>
              <w:ind w:left="120"/>
              <w:spacing w:after="0"/>
              <w:rPr>
                <w:sz w:val="20"/>
                <w:szCs w:val="20"/>
                <w:color w:val="auto"/>
              </w:rPr>
            </w:pPr>
            <w:r>
              <w:rPr>
                <w:rFonts w:ascii="Arial" w:cs="Arial" w:eastAsia="Arial" w:hAnsi="Arial"/>
                <w:sz w:val="16"/>
                <w:szCs w:val="16"/>
                <w:color w:val="auto"/>
              </w:rPr>
              <w:t>External 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1,172.3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1,172.3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1,094.4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1,094.4</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0" w:type="dxa"/>
            <w:vAlign w:val="bottom"/>
            <w:gridSpan w:val="8"/>
          </w:tcPr>
          <w:p>
            <w:pPr>
              <w:ind w:left="120"/>
              <w:spacing w:after="0"/>
              <w:rPr>
                <w:sz w:val="20"/>
                <w:szCs w:val="20"/>
                <w:color w:val="auto"/>
              </w:rPr>
            </w:pPr>
            <w:r>
              <w:rPr>
                <w:rFonts w:ascii="Arial" w:cs="Arial" w:eastAsia="Arial" w:hAnsi="Arial"/>
                <w:sz w:val="16"/>
                <w:szCs w:val="16"/>
                <w:color w:val="auto"/>
              </w:rPr>
              <w:t>Operating Profit</w:t>
            </w:r>
          </w:p>
        </w:tc>
        <w:tc>
          <w:tcPr>
            <w:tcW w:w="16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551.1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551.1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422.5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422.5</w:t>
            </w:r>
          </w:p>
        </w:tc>
        <w:tc>
          <w:tcPr>
            <w:tcW w:w="2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30%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00" w:type="dxa"/>
            <w:vAlign w:val="bottom"/>
            <w:gridSpan w:val="8"/>
            <w:shd w:val="clear" w:color="auto" w:fill="CCEEFF"/>
          </w:tcPr>
          <w:p>
            <w:pPr>
              <w:ind w:left="120"/>
              <w:spacing w:after="0"/>
              <w:rPr>
                <w:sz w:val="20"/>
                <w:szCs w:val="20"/>
                <w:color w:val="auto"/>
              </w:rPr>
            </w:pPr>
            <w:r>
              <w:rPr>
                <w:rFonts w:ascii="Arial" w:cs="Arial" w:eastAsia="Arial" w:hAnsi="Arial"/>
                <w:sz w:val="16"/>
                <w:szCs w:val="16"/>
                <w:color w:val="auto"/>
              </w:rPr>
              <w:t>Operating Margin</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47.0 %</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38.6 %</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99"/>
              </w:rPr>
              <w:t>Entertainment:</w:t>
            </w:r>
          </w:p>
        </w:tc>
        <w:tc>
          <w:tcPr>
            <w:tcW w:w="1940" w:type="dxa"/>
            <w:vAlign w:val="bottom"/>
            <w:tcBorders>
              <w:bottom w:val="single" w:sz="8" w:color="CCEEFF"/>
            </w:tcBorders>
            <w:gridSpan w:val="7"/>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0" w:type="dxa"/>
            <w:vAlign w:val="bottom"/>
            <w:gridSpan w:val="8"/>
          </w:tcPr>
          <w:p>
            <w:pPr>
              <w:ind w:left="120"/>
              <w:spacing w:after="0"/>
              <w:rPr>
                <w:sz w:val="20"/>
                <w:szCs w:val="20"/>
                <w:color w:val="auto"/>
              </w:rPr>
            </w:pPr>
            <w:r>
              <w:rPr>
                <w:rFonts w:ascii="Arial" w:cs="Arial" w:eastAsia="Arial" w:hAnsi="Arial"/>
                <w:sz w:val="16"/>
                <w:szCs w:val="16"/>
                <w:color w:val="auto"/>
              </w:rPr>
              <w:t>External Net Revenues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64.0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64.0</w:t>
            </w:r>
          </w:p>
        </w:tc>
        <w:tc>
          <w:tcPr>
            <w:tcW w:w="16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487.5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487.5</w:t>
            </w:r>
          </w:p>
        </w:tc>
        <w:tc>
          <w:tcPr>
            <w:tcW w:w="2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00" w:type="dxa"/>
            <w:vAlign w:val="bottom"/>
            <w:gridSpan w:val="8"/>
            <w:shd w:val="clear" w:color="auto" w:fill="CCEEFF"/>
          </w:tcPr>
          <w:p>
            <w:pPr>
              <w:ind w:left="120"/>
              <w:spacing w:after="0"/>
              <w:rPr>
                <w:sz w:val="20"/>
                <w:szCs w:val="20"/>
                <w:color w:val="auto"/>
              </w:rPr>
            </w:pPr>
            <w:r>
              <w:rPr>
                <w:rFonts w:ascii="Arial" w:cs="Arial" w:eastAsia="Arial" w:hAnsi="Arial"/>
                <w:sz w:val="16"/>
                <w:szCs w:val="16"/>
                <w:color w:val="auto"/>
              </w:rPr>
              <w:t>Operating Profit (Loss)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(801.4)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786.2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(15.2)</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&gt;100%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0" w:type="dxa"/>
            <w:vAlign w:val="bottom"/>
            <w:gridSpan w:val="8"/>
          </w:tcPr>
          <w:p>
            <w:pPr>
              <w:ind w:left="120"/>
              <w:spacing w:after="0"/>
              <w:rPr>
                <w:sz w:val="20"/>
                <w:szCs w:val="20"/>
                <w:color w:val="auto"/>
              </w:rPr>
            </w:pPr>
            <w:r>
              <w:rPr>
                <w:rFonts w:ascii="Arial" w:cs="Arial" w:eastAsia="Arial" w:hAnsi="Arial"/>
                <w:sz w:val="16"/>
                <w:szCs w:val="16"/>
                <w:color w:val="auto"/>
              </w:rPr>
              <w:t>Operating Margin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22.8 %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53.9 %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76.7 %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&gt;-100%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&gt;100%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-3.1 %</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0" w:type="dxa"/>
            <w:vAlign w:val="bottom"/>
            <w:gridSpan w:val="8"/>
          </w:tcPr>
          <w:p>
            <w:pPr>
              <w:spacing w:after="0" w:line="175" w:lineRule="exact"/>
              <w:rPr>
                <w:sz w:val="20"/>
                <w:szCs w:val="20"/>
                <w:color w:val="auto"/>
              </w:rPr>
            </w:pPr>
            <w:r>
              <w:rPr>
                <w:rFonts w:ascii="Arial" w:cs="Arial" w:eastAsia="Arial" w:hAnsi="Arial"/>
                <w:sz w:val="16"/>
                <w:szCs w:val="16"/>
                <w:color w:val="auto"/>
              </w:rPr>
              <w:t>Corporate and Other:</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000" w:type="dxa"/>
            <w:vAlign w:val="bottom"/>
            <w:gridSpan w:val="8"/>
            <w:shd w:val="clear" w:color="auto" w:fill="CCEEFF"/>
          </w:tcPr>
          <w:p>
            <w:pPr>
              <w:ind w:left="120"/>
              <w:spacing w:after="0"/>
              <w:rPr>
                <w:sz w:val="20"/>
                <w:szCs w:val="20"/>
                <w:color w:val="auto"/>
              </w:rPr>
            </w:pPr>
            <w:r>
              <w:rPr>
                <w:rFonts w:ascii="Arial" w:cs="Arial" w:eastAsia="Arial" w:hAnsi="Arial"/>
                <w:sz w:val="16"/>
                <w:szCs w:val="16"/>
                <w:color w:val="auto"/>
              </w:rPr>
              <w:t>Operating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25.5</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33%</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800" w:hanging="144"/>
        <w:spacing w:after="0"/>
        <w:tabs>
          <w:tab w:leader="none" w:pos="80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Amounts within this section may not sum due to rounding</w:t>
      </w:r>
    </w:p>
    <w:p>
      <w:pPr>
        <w:sectPr>
          <w:pgSz w:w="11900" w:h="16838" w:orient="portrait"/>
          <w:cols w:equalWidth="0" w:num="1">
            <w:col w:w="11020"/>
          </w:cols>
          <w:pgMar w:left="320" w:top="935" w:right="559" w:bottom="1440" w:gutter="0" w:footer="0" w:header="0"/>
        </w:sectPr>
      </w:pPr>
    </w:p>
    <w:bookmarkStart w:id="14" w:name="page15"/>
    <w:bookmarkEnd w:id="14"/>
    <w:tbl>
      <w:tblPr>
        <w:tblLayout w:type="fixed"/>
        <w:tblInd w:w="4"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Nine Months Ended</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Revenues by Brand Portfolio</w:t>
            </w:r>
          </w:p>
        </w:tc>
        <w:tc>
          <w:tcPr>
            <w:tcW w:w="1300" w:type="dxa"/>
            <w:vAlign w:val="bottom"/>
            <w:gridSpan w:val="2"/>
          </w:tcPr>
          <w:p>
            <w:pPr>
              <w:jc w:val="right"/>
              <w:ind w:right="19"/>
              <w:spacing w:after="0" w:line="155" w:lineRule="exact"/>
              <w:rPr>
                <w:sz w:val="20"/>
                <w:szCs w:val="20"/>
                <w:color w:val="auto"/>
              </w:rPr>
            </w:pPr>
            <w:r>
              <w:rPr>
                <w:rFonts w:ascii="Arial" w:cs="Arial" w:eastAsia="Arial" w:hAnsi="Arial"/>
                <w:sz w:val="16"/>
                <w:szCs w:val="16"/>
                <w:b w:val="1"/>
                <w:bCs w:val="1"/>
                <w:color w:val="auto"/>
              </w:rPr>
              <w:t>September 29,</w:t>
            </w:r>
          </w:p>
        </w:tc>
        <w:tc>
          <w:tcPr>
            <w:tcW w:w="100" w:type="dxa"/>
            <w:vAlign w:val="bottom"/>
          </w:tcPr>
          <w:p>
            <w:pPr>
              <w:spacing w:after="0"/>
              <w:rPr>
                <w:sz w:val="13"/>
                <w:szCs w:val="13"/>
                <w:color w:val="auto"/>
              </w:rPr>
            </w:pPr>
          </w:p>
        </w:tc>
        <w:tc>
          <w:tcPr>
            <w:tcW w:w="156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October 1, 2023</w:t>
            </w:r>
          </w:p>
        </w:tc>
        <w:tc>
          <w:tcPr>
            <w:tcW w:w="12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399"/>
              <w:spacing w:after="0" w:line="175"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52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120"/>
              <w:spacing w:after="0" w:line="210" w:lineRule="exact"/>
              <w:rPr>
                <w:sz w:val="20"/>
                <w:szCs w:val="20"/>
                <w:color w:val="auto"/>
              </w:rPr>
            </w:pPr>
            <w:r>
              <w:rPr>
                <w:rFonts w:ascii="Arial" w:cs="Arial" w:eastAsia="Arial" w:hAnsi="Arial"/>
                <w:sz w:val="16"/>
                <w:szCs w:val="16"/>
                <w:color w:val="auto"/>
              </w:rPr>
              <w:t xml:space="preserve">Franchise Brands </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gridSpan w:val="2"/>
          </w:tcPr>
          <w:p>
            <w:pPr>
              <w:ind w:left="120"/>
              <w:spacing w:after="0"/>
              <w:rPr>
                <w:sz w:val="20"/>
                <w:szCs w:val="20"/>
                <w:color w:val="auto"/>
              </w:rPr>
            </w:pPr>
            <w:r>
              <w:rPr>
                <w:rFonts w:ascii="Arial" w:cs="Arial" w:eastAsia="Arial" w:hAnsi="Arial"/>
                <w:sz w:val="16"/>
                <w:szCs w:val="16"/>
                <w:color w:val="auto"/>
              </w:rPr>
              <w:t>Partner Brands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120"/>
              <w:spacing w:after="0" w:line="217" w:lineRule="exact"/>
              <w:rPr>
                <w:sz w:val="20"/>
                <w:szCs w:val="20"/>
                <w:color w:val="auto"/>
              </w:rPr>
            </w:pPr>
            <w:r>
              <w:rPr>
                <w:rFonts w:ascii="Arial" w:cs="Arial" w:eastAsia="Arial" w:hAnsi="Arial"/>
                <w:sz w:val="16"/>
                <w:szCs w:val="16"/>
                <w:color w:val="auto"/>
              </w:rPr>
              <w:t xml:space="preserve">Portfolio Brands </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5060" w:type="dxa"/>
            <w:vAlign w:val="bottom"/>
            <w:tcBorders>
              <w:bottom w:val="single" w:sz="8" w:color="CCEEFF"/>
            </w:tcBorders>
            <w:gridSpan w:val="2"/>
          </w:tcPr>
          <w:p>
            <w:pPr>
              <w:ind w:left="120"/>
              <w:spacing w:after="0" w:line="216" w:lineRule="exact"/>
              <w:rPr>
                <w:sz w:val="20"/>
                <w:szCs w:val="20"/>
                <w:color w:val="auto"/>
              </w:rPr>
            </w:pPr>
            <w:r>
              <w:rPr>
                <w:rFonts w:ascii="Arial" w:cs="Arial" w:eastAsia="Arial" w:hAnsi="Arial"/>
                <w:sz w:val="16"/>
                <w:szCs w:val="16"/>
                <w:color w:val="auto"/>
              </w:rPr>
              <w:t xml:space="preserve">Non-Hasbro Branded Film &amp; TV </w:t>
            </w:r>
            <w:r>
              <w:rPr>
                <w:rFonts w:ascii="Arial" w:cs="Arial" w:eastAsia="Arial" w:hAnsi="Arial"/>
                <w:sz w:val="21"/>
                <w:szCs w:val="21"/>
                <w:color w:val="auto"/>
                <w:vertAlign w:val="superscript"/>
              </w:rPr>
              <w:t>(2)</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50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3,033.9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3,714.4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4" w:right="200" w:hanging="4"/>
        <w:spacing w:after="0" w:line="222" w:lineRule="auto"/>
        <w:tabs>
          <w:tab w:leader="none" w:pos="177"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Franchise Brands include: DUNGEONS &amp; DRAGONS, Hasbro Gaming, MAGIC: THE GATHERING, NERF, PEPPA PIG, PLAY-DOH and TRANSFORMERS.</w:t>
      </w:r>
    </w:p>
    <w:p>
      <w:pPr>
        <w:jc w:val="both"/>
        <w:ind w:left="4" w:hanging="4"/>
        <w:spacing w:after="0" w:line="256" w:lineRule="auto"/>
        <w:tabs>
          <w:tab w:leader="none" w:pos="162"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Effective in the first quarter of 2024, the Company moved the remaining Non-Hasbro Branded Film &amp; TV brands into Portfolio Brands to align with the Company's Brand Strategy. For comparability net revenues for the nine months ended October 1, 2023, have been restated to reflect the movement, resulting in a change of $1.2.</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4" w:type="dxa"/>
        <w:tblCellMar>
          <w:top w:w="0" w:type="dxa"/>
          <w:left w:w="0" w:type="dxa"/>
          <w:bottom w:w="0" w:type="dxa"/>
          <w:right w:w="0" w:type="dxa"/>
        </w:tblCellMar>
      </w:tblPr>
      <w:tr>
        <w:trPr>
          <w:trHeight w:val="217"/>
        </w:trPr>
        <w:tc>
          <w:tcPr>
            <w:tcW w:w="5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Nine Months Ended</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1300" w:type="dxa"/>
            <w:vAlign w:val="bottom"/>
            <w:gridSpan w:val="2"/>
          </w:tcPr>
          <w:p>
            <w:pPr>
              <w:jc w:val="right"/>
              <w:ind w:right="19"/>
              <w:spacing w:after="0" w:line="155" w:lineRule="exact"/>
              <w:rPr>
                <w:sz w:val="20"/>
                <w:szCs w:val="20"/>
                <w:color w:val="auto"/>
              </w:rPr>
            </w:pPr>
            <w:r>
              <w:rPr>
                <w:rFonts w:ascii="Arial" w:cs="Arial" w:eastAsia="Arial" w:hAnsi="Arial"/>
                <w:sz w:val="16"/>
                <w:szCs w:val="16"/>
                <w:b w:val="1"/>
                <w:bCs w:val="1"/>
                <w:color w:val="auto"/>
              </w:rPr>
              <w:t>September 29,</w:t>
            </w:r>
          </w:p>
        </w:tc>
        <w:tc>
          <w:tcPr>
            <w:tcW w:w="100" w:type="dxa"/>
            <w:vAlign w:val="bottom"/>
          </w:tcPr>
          <w:p>
            <w:pPr>
              <w:spacing w:after="0"/>
              <w:rPr>
                <w:sz w:val="13"/>
                <w:szCs w:val="13"/>
                <w:color w:val="auto"/>
              </w:rPr>
            </w:pPr>
          </w:p>
        </w:tc>
        <w:tc>
          <w:tcPr>
            <w:tcW w:w="156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October 1, 2023</w:t>
            </w:r>
          </w:p>
        </w:tc>
        <w:tc>
          <w:tcPr>
            <w:tcW w:w="12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60" w:type="dxa"/>
            <w:vAlign w:val="bottom"/>
            <w:gridSpan w:val="4"/>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MAGIC: THE GATHERING</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870.2</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82"/>
        </w:trPr>
        <w:tc>
          <w:tcPr>
            <w:tcW w:w="5080" w:type="dxa"/>
            <w:vAlign w:val="bottom"/>
          </w:tcPr>
          <w:p>
            <w:pPr>
              <w:ind w:left="20"/>
              <w:spacing w:after="0"/>
              <w:rPr>
                <w:sz w:val="20"/>
                <w:szCs w:val="20"/>
                <w:color w:val="auto"/>
              </w:rPr>
            </w:pPr>
            <w:r>
              <w:rPr>
                <w:rFonts w:ascii="Arial" w:cs="Arial" w:eastAsia="Arial" w:hAnsi="Arial"/>
                <w:sz w:val="16"/>
                <w:szCs w:val="16"/>
                <w:color w:val="auto"/>
              </w:rPr>
              <w:t xml:space="preserve">Hasbro Total Gaming </w:t>
            </w:r>
            <w:r>
              <w:rPr>
                <w:rFonts w:ascii="Arial" w:cs="Arial" w:eastAsia="Arial" w:hAnsi="Arial"/>
                <w:sz w:val="21"/>
                <w:szCs w:val="21"/>
                <w:color w:val="auto"/>
                <w:vertAlign w:val="superscript"/>
              </w:rPr>
              <w:t>(1)</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1,549.6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1,505.7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 w:right="180" w:hanging="4"/>
        <w:spacing w:after="0" w:line="235" w:lineRule="auto"/>
        <w:tabs>
          <w:tab w:leader="none" w:pos="177"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Hasbro Total Gaming includes all gaming revenue, most notably DUNGEONS &amp; DRAGONS, MAGIC: THE GATHERING and Hasbro Gaming.</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Nine Months Ended</w:t>
            </w:r>
          </w:p>
        </w:tc>
        <w:tc>
          <w:tcPr>
            <w:tcW w:w="1120" w:type="dxa"/>
            <w:vAlign w:val="bottom"/>
            <w:tcBorders>
              <w:bottom w:val="single" w:sz="8" w:color="auto"/>
            </w:tcBorders>
          </w:tcPr>
          <w:p>
            <w:pPr>
              <w:spacing w:after="0"/>
              <w:rPr>
                <w:sz w:val="18"/>
                <w:szCs w:val="18"/>
                <w:color w:val="auto"/>
              </w:rPr>
            </w:pPr>
          </w:p>
        </w:tc>
      </w:tr>
      <w:tr>
        <w:trPr>
          <w:trHeight w:val="169"/>
        </w:trPr>
        <w:tc>
          <w:tcPr>
            <w:tcW w:w="20" w:type="dxa"/>
            <w:vAlign w:val="bottom"/>
          </w:tcPr>
          <w:p>
            <w:pPr>
              <w:spacing w:after="0"/>
              <w:rPr>
                <w:sz w:val="14"/>
                <w:szCs w:val="14"/>
                <w:color w:val="auto"/>
              </w:rPr>
            </w:pPr>
          </w:p>
        </w:tc>
        <w:tc>
          <w:tcPr>
            <w:tcW w:w="4720" w:type="dxa"/>
            <w:vAlign w:val="bottom"/>
            <w:gridSpan w:val="3"/>
          </w:tcPr>
          <w:p>
            <w:pPr>
              <w:spacing w:after="0" w:line="169" w:lineRule="exact"/>
              <w:rPr>
                <w:sz w:val="20"/>
                <w:szCs w:val="20"/>
                <w:color w:val="auto"/>
              </w:rPr>
            </w:pPr>
            <w:r>
              <w:rPr>
                <w:rFonts w:ascii="Arial" w:cs="Arial" w:eastAsia="Arial" w:hAnsi="Arial"/>
                <w:sz w:val="16"/>
                <w:szCs w:val="16"/>
                <w:b w:val="1"/>
                <w:bCs w:val="1"/>
                <w:color w:val="auto"/>
              </w:rPr>
              <w:t>Consumer Products Segment Net Revenues by Major</w:t>
            </w:r>
          </w:p>
        </w:tc>
        <w:tc>
          <w:tcPr>
            <w:tcW w:w="1220" w:type="dxa"/>
            <w:vAlign w:val="bottom"/>
            <w:gridSpan w:val="2"/>
          </w:tcPr>
          <w:p>
            <w:pPr>
              <w:jc w:val="right"/>
              <w:spacing w:after="0" w:line="169" w:lineRule="exact"/>
              <w:rPr>
                <w:sz w:val="20"/>
                <w:szCs w:val="20"/>
                <w:color w:val="auto"/>
              </w:rPr>
            </w:pPr>
            <w:r>
              <w:rPr>
                <w:rFonts w:ascii="Arial" w:cs="Arial" w:eastAsia="Arial" w:hAnsi="Arial"/>
                <w:sz w:val="16"/>
                <w:szCs w:val="16"/>
                <w:b w:val="1"/>
                <w:bCs w:val="1"/>
                <w:color w:val="auto"/>
              </w:rPr>
              <w:t>September 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ind w:left="40"/>
              <w:spacing w:after="0" w:line="169" w:lineRule="exact"/>
              <w:rPr>
                <w:sz w:val="20"/>
                <w:szCs w:val="20"/>
                <w:color w:val="auto"/>
              </w:rPr>
            </w:pPr>
            <w:r>
              <w:rPr>
                <w:rFonts w:ascii="Arial" w:cs="Arial" w:eastAsia="Arial" w:hAnsi="Arial"/>
                <w:sz w:val="16"/>
                <w:szCs w:val="16"/>
                <w:b w:val="1"/>
                <w:bCs w:val="1"/>
                <w:color w:val="auto"/>
              </w:rPr>
              <w:t>October 1,</w:t>
            </w:r>
          </w:p>
        </w:tc>
        <w:tc>
          <w:tcPr>
            <w:tcW w:w="1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6"/>
                <w:szCs w:val="16"/>
                <w:b w:val="1"/>
                <w:bCs w:val="1"/>
                <w:color w:val="auto"/>
              </w:rPr>
              <w:t>Geographic Region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339"/>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359"/>
              <w:spacing w:after="0" w:line="142" w:lineRule="exact"/>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179"/>
              <w:spacing w:after="0" w:line="142" w:lineRule="exact"/>
              <w:rPr>
                <w:sz w:val="20"/>
                <w:szCs w:val="20"/>
                <w:color w:val="auto"/>
              </w:rPr>
            </w:pPr>
            <w:r>
              <w:rPr>
                <w:rFonts w:ascii="Arial" w:cs="Arial" w:eastAsia="Arial" w:hAnsi="Arial"/>
                <w:sz w:val="16"/>
                <w:szCs w:val="16"/>
                <w:b w:val="1"/>
                <w:bCs w:val="1"/>
                <w:color w:val="auto"/>
              </w:rPr>
              <w:t>% 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North America</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15"/>
        </w:trPr>
        <w:tc>
          <w:tcPr>
            <w:tcW w:w="20" w:type="dxa"/>
            <w:vAlign w:val="bottom"/>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Arial" w:cs="Arial" w:eastAsia="Arial" w:hAnsi="Arial"/>
                <w:sz w:val="16"/>
                <w:szCs w:val="16"/>
                <w:color w:val="auto"/>
              </w:rPr>
              <w:t>Europe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17"/>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Asia Pacific</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15"/>
        </w:trPr>
        <w:tc>
          <w:tcPr>
            <w:tcW w:w="20" w:type="dxa"/>
            <w:vAlign w:val="bottom"/>
            <w:tcBorders>
              <w:bottom w:val="single" w:sz="8" w:color="CCEEFF"/>
            </w:tcBorders>
          </w:tcPr>
          <w:p>
            <w:pPr>
              <w:spacing w:after="0"/>
              <w:rPr>
                <w:sz w:val="18"/>
                <w:szCs w:val="18"/>
                <w:color w:val="auto"/>
              </w:rPr>
            </w:pPr>
          </w:p>
        </w:tc>
        <w:tc>
          <w:tcPr>
            <w:tcW w:w="472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Latin America</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7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Net revenues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4"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Nine Months Ended</w:t>
            </w:r>
          </w:p>
        </w:tc>
        <w:tc>
          <w:tcPr>
            <w:tcW w:w="1220" w:type="dxa"/>
            <w:vAlign w:val="bottom"/>
            <w:tcBorders>
              <w:bottom w:val="single" w:sz="8" w:color="auto"/>
            </w:tcBorders>
          </w:tcPr>
          <w:p>
            <w:pPr>
              <w:spacing w:after="0"/>
              <w:rPr>
                <w:sz w:val="18"/>
                <w:szCs w:val="18"/>
                <w:color w:val="auto"/>
              </w:rPr>
            </w:pPr>
          </w:p>
        </w:tc>
      </w:tr>
      <w:tr>
        <w:trPr>
          <w:trHeight w:val="169"/>
        </w:trPr>
        <w:tc>
          <w:tcPr>
            <w:tcW w:w="20" w:type="dxa"/>
            <w:vAlign w:val="bottom"/>
          </w:tcPr>
          <w:p>
            <w:pPr>
              <w:spacing w:after="0"/>
              <w:rPr>
                <w:sz w:val="14"/>
                <w:szCs w:val="14"/>
                <w:color w:val="auto"/>
              </w:rPr>
            </w:pPr>
          </w:p>
        </w:tc>
        <w:tc>
          <w:tcPr>
            <w:tcW w:w="5060" w:type="dxa"/>
            <w:vAlign w:val="bottom"/>
            <w:gridSpan w:val="3"/>
          </w:tcPr>
          <w:p>
            <w:pPr>
              <w:spacing w:after="0" w:line="169" w:lineRule="exact"/>
              <w:rPr>
                <w:sz w:val="20"/>
                <w:szCs w:val="20"/>
                <w:color w:val="auto"/>
              </w:rPr>
            </w:pPr>
            <w:r>
              <w:rPr>
                <w:rFonts w:ascii="Arial" w:cs="Arial" w:eastAsia="Arial" w:hAnsi="Arial"/>
                <w:sz w:val="16"/>
                <w:szCs w:val="16"/>
                <w:b w:val="1"/>
                <w:bCs w:val="1"/>
                <w:color w:val="auto"/>
              </w:rPr>
              <w:t>Wizards of the Coast and Digital Gaming Net Revenues by</w:t>
            </w:r>
          </w:p>
        </w:tc>
        <w:tc>
          <w:tcPr>
            <w:tcW w:w="1300" w:type="dxa"/>
            <w:vAlign w:val="bottom"/>
            <w:gridSpan w:val="2"/>
          </w:tcPr>
          <w:p>
            <w:pPr>
              <w:jc w:val="right"/>
              <w:ind w:right="19"/>
              <w:spacing w:after="0" w:line="169" w:lineRule="exact"/>
              <w:rPr>
                <w:sz w:val="20"/>
                <w:szCs w:val="20"/>
                <w:color w:val="auto"/>
              </w:rPr>
            </w:pPr>
            <w:r>
              <w:rPr>
                <w:rFonts w:ascii="Arial" w:cs="Arial" w:eastAsia="Arial" w:hAnsi="Arial"/>
                <w:sz w:val="16"/>
                <w:szCs w:val="16"/>
                <w:b w:val="1"/>
                <w:bCs w:val="1"/>
                <w:color w:val="auto"/>
              </w:rPr>
              <w:t>September 29,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6"/>
                <w:szCs w:val="16"/>
                <w:b w:val="1"/>
                <w:bCs w:val="1"/>
                <w:color w:val="auto"/>
              </w:rPr>
              <w:t>Category</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399"/>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2"/>
                <w:szCs w:val="12"/>
                <w:color w:val="auto"/>
              </w:rPr>
            </w:pPr>
          </w:p>
        </w:tc>
        <w:tc>
          <w:tcPr>
            <w:tcW w:w="1560" w:type="dxa"/>
            <w:vAlign w:val="bottom"/>
            <w:gridSpan w:val="4"/>
          </w:tcPr>
          <w:p>
            <w:pPr>
              <w:ind w:left="40"/>
              <w:spacing w:after="0" w:line="142" w:lineRule="exact"/>
              <w:rPr>
                <w:sz w:val="20"/>
                <w:szCs w:val="20"/>
                <w:color w:val="auto"/>
              </w:rPr>
            </w:pPr>
            <w:r>
              <w:rPr>
                <w:rFonts w:ascii="Arial" w:cs="Arial" w:eastAsia="Arial" w:hAnsi="Arial"/>
                <w:sz w:val="16"/>
                <w:szCs w:val="16"/>
                <w:b w:val="1"/>
                <w:bCs w:val="1"/>
                <w:color w:val="auto"/>
              </w:rPr>
              <w:t>October 1, 2023</w:t>
            </w:r>
          </w:p>
        </w:tc>
        <w:tc>
          <w:tcPr>
            <w:tcW w:w="1220" w:type="dxa"/>
            <w:vAlign w:val="bottom"/>
          </w:tcPr>
          <w:p>
            <w:pPr>
              <w:jc w:val="right"/>
              <w:ind w:right="219"/>
              <w:spacing w:after="0" w:line="142" w:lineRule="exact"/>
              <w:rPr>
                <w:sz w:val="20"/>
                <w:szCs w:val="20"/>
                <w:color w:val="auto"/>
              </w:rPr>
            </w:pPr>
            <w:r>
              <w:rPr>
                <w:rFonts w:ascii="Arial" w:cs="Arial" w:eastAsia="Arial" w:hAnsi="Arial"/>
                <w:sz w:val="16"/>
                <w:szCs w:val="16"/>
                <w:b w:val="1"/>
                <w:bCs w:val="1"/>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0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Tabletop Gaming</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15"/>
        </w:trPr>
        <w:tc>
          <w:tcPr>
            <w:tcW w:w="20" w:type="dxa"/>
            <w:vAlign w:val="bottom"/>
            <w:tcBorders>
              <w:bottom w:val="single" w:sz="8" w:color="CCEEFF"/>
            </w:tcBorders>
          </w:tcPr>
          <w:p>
            <w:pPr>
              <w:spacing w:after="0"/>
              <w:rPr>
                <w:sz w:val="18"/>
                <w:szCs w:val="18"/>
                <w:color w:val="auto"/>
              </w:rPr>
            </w:pPr>
          </w:p>
        </w:tc>
        <w:tc>
          <w:tcPr>
            <w:tcW w:w="506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Digital and Licensed Gaming</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50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Net revenues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tbl>
      <w:tblPr>
        <w:tblLayout w:type="fixed"/>
        <w:tblInd w:w="4"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Nine Months Ended</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Entertainment Segment Net Revenues by Category</w:t>
            </w:r>
          </w:p>
        </w:tc>
        <w:tc>
          <w:tcPr>
            <w:tcW w:w="1300" w:type="dxa"/>
            <w:vAlign w:val="bottom"/>
            <w:gridSpan w:val="2"/>
          </w:tcPr>
          <w:p>
            <w:pPr>
              <w:jc w:val="right"/>
              <w:ind w:right="19"/>
              <w:spacing w:after="0" w:line="155" w:lineRule="exact"/>
              <w:rPr>
                <w:sz w:val="20"/>
                <w:szCs w:val="20"/>
                <w:color w:val="auto"/>
              </w:rPr>
            </w:pPr>
            <w:r>
              <w:rPr>
                <w:rFonts w:ascii="Arial" w:cs="Arial" w:eastAsia="Arial" w:hAnsi="Arial"/>
                <w:sz w:val="16"/>
                <w:szCs w:val="16"/>
                <w:b w:val="1"/>
                <w:bCs w:val="1"/>
                <w:color w:val="auto"/>
              </w:rPr>
              <w:t>September 29,</w:t>
            </w:r>
          </w:p>
        </w:tc>
        <w:tc>
          <w:tcPr>
            <w:tcW w:w="100" w:type="dxa"/>
            <w:vAlign w:val="bottom"/>
          </w:tcPr>
          <w:p>
            <w:pPr>
              <w:spacing w:after="0"/>
              <w:rPr>
                <w:sz w:val="13"/>
                <w:szCs w:val="13"/>
                <w:color w:val="auto"/>
              </w:rPr>
            </w:pPr>
          </w:p>
        </w:tc>
        <w:tc>
          <w:tcPr>
            <w:tcW w:w="156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October 1, 2023</w:t>
            </w:r>
          </w:p>
        </w:tc>
        <w:tc>
          <w:tcPr>
            <w:tcW w:w="12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399"/>
              <w:spacing w:after="0" w:line="175"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900" w:type="dxa"/>
            <w:vAlign w:val="bottom"/>
            <w:tcBorders>
              <w:top w:val="single" w:sz="8" w:color="auto"/>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Film and TV</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50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Family Brands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50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Net revenues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844"/>
          </w:cols>
          <w:pgMar w:left="976" w:top="1178" w:right="1079" w:bottom="1440" w:gutter="0" w:footer="0" w:header="0"/>
        </w:sectPr>
      </w:pPr>
    </w:p>
    <w:bookmarkStart w:id="15" w:name="page16"/>
    <w:bookmarkEnd w:id="15"/>
    <w:p>
      <w:pPr>
        <w:spacing w:after="0"/>
        <w:rPr>
          <w:sz w:val="20"/>
          <w:szCs w:val="20"/>
          <w:color w:val="auto"/>
        </w:rPr>
      </w:pPr>
      <w:r>
        <w:rPr>
          <w:rFonts w:ascii="Arial" w:cs="Arial" w:eastAsia="Arial" w:hAnsi="Arial"/>
          <w:sz w:val="29"/>
          <w:szCs w:val="29"/>
          <w:b w:val="1"/>
          <w:bCs w:val="1"/>
          <w:color w:val="auto"/>
        </w:rPr>
        <w:t>HASBRO, INC.</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RECONCILIATION</w:t>
      </w: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(Millions of Dollars)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Reconciliation of EBITDA and Adjusted EBITDA</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September 29,</w:t>
            </w:r>
          </w:p>
        </w:tc>
        <w:tc>
          <w:tcPr>
            <w:tcW w:w="220" w:type="dxa"/>
            <w:vAlign w:val="bottom"/>
          </w:tcPr>
          <w:p>
            <w:pPr>
              <w:spacing w:after="0"/>
              <w:rPr>
                <w:sz w:val="13"/>
                <w:szCs w:val="13"/>
                <w:color w:val="auto"/>
              </w:rPr>
            </w:pPr>
          </w:p>
        </w:tc>
        <w:tc>
          <w:tcPr>
            <w:tcW w:w="1360" w:type="dxa"/>
            <w:vAlign w:val="bottom"/>
            <w:gridSpan w:val="2"/>
          </w:tcPr>
          <w:p>
            <w:pPr>
              <w:ind w:left="120"/>
              <w:spacing w:after="0" w:line="155" w:lineRule="exact"/>
              <w:rPr>
                <w:sz w:val="20"/>
                <w:szCs w:val="20"/>
                <w:color w:val="auto"/>
              </w:rPr>
            </w:pPr>
            <w:r>
              <w:rPr>
                <w:rFonts w:ascii="Arial" w:cs="Arial" w:eastAsia="Arial" w:hAnsi="Arial"/>
                <w:sz w:val="16"/>
                <w:szCs w:val="16"/>
                <w:b w:val="1"/>
                <w:bCs w:val="1"/>
                <w:color w:val="auto"/>
              </w:rPr>
              <w:t>October 1,</w:t>
            </w:r>
          </w:p>
        </w:tc>
        <w:tc>
          <w:tcPr>
            <w:tcW w:w="140" w:type="dxa"/>
            <w:vAlign w:val="bottom"/>
          </w:tcPr>
          <w:p>
            <w:pPr>
              <w:spacing w:after="0"/>
              <w:rPr>
                <w:sz w:val="13"/>
                <w:szCs w:val="13"/>
                <w:color w:val="auto"/>
              </w:rPr>
            </w:pPr>
          </w:p>
        </w:tc>
        <w:tc>
          <w:tcPr>
            <w:tcW w:w="142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September 29,</w:t>
            </w:r>
          </w:p>
        </w:tc>
        <w:tc>
          <w:tcPr>
            <w:tcW w:w="220" w:type="dxa"/>
            <w:vAlign w:val="bottom"/>
          </w:tcPr>
          <w:p>
            <w:pPr>
              <w:spacing w:after="0"/>
              <w:rPr>
                <w:sz w:val="13"/>
                <w:szCs w:val="13"/>
                <w:color w:val="auto"/>
              </w:rPr>
            </w:pPr>
          </w:p>
        </w:tc>
        <w:tc>
          <w:tcPr>
            <w:tcW w:w="1240" w:type="dxa"/>
            <w:vAlign w:val="bottom"/>
          </w:tcPr>
          <w:p>
            <w:pPr>
              <w:jc w:val="right"/>
              <w:ind w:right="239"/>
              <w:spacing w:after="0" w:line="155" w:lineRule="exact"/>
              <w:rPr>
                <w:sz w:val="20"/>
                <w:szCs w:val="20"/>
                <w:color w:val="auto"/>
              </w:rPr>
            </w:pPr>
            <w:r>
              <w:rPr>
                <w:rFonts w:ascii="Arial" w:cs="Arial" w:eastAsia="Arial" w:hAnsi="Arial"/>
                <w:sz w:val="16"/>
                <w:szCs w:val="16"/>
                <w:b w:val="1"/>
                <w:bCs w:val="1"/>
                <w:color w:val="auto"/>
              </w:rPr>
              <w:t>October 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vMerge w:val="continue"/>
          </w:tcPr>
          <w:p>
            <w:pPr>
              <w:spacing w:after="0"/>
              <w:rPr>
                <w:sz w:val="10"/>
                <w:szCs w:val="10"/>
                <w:color w:val="auto"/>
              </w:rPr>
            </w:pPr>
          </w:p>
        </w:tc>
        <w:tc>
          <w:tcPr>
            <w:tcW w:w="120" w:type="dxa"/>
            <w:vAlign w:val="bottom"/>
            <w:tcBorders>
              <w:bottom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w w:val="77"/>
              </w:rPr>
              <w:t>(1)</w:t>
            </w:r>
          </w:p>
        </w:tc>
        <w:tc>
          <w:tcPr>
            <w:tcW w:w="14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vMerge w:val="restart"/>
          </w:tcPr>
          <w:p>
            <w:pPr>
              <w:jc w:val="right"/>
              <w:ind w:right="459"/>
              <w:spacing w:after="0" w:line="175"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vMerge w:val="restart"/>
          </w:tcPr>
          <w:p>
            <w:pPr>
              <w:jc w:val="right"/>
              <w:ind w:right="459"/>
              <w:spacing w:after="0" w:line="175" w:lineRule="exact"/>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vMerge w:val="restart"/>
          </w:tcPr>
          <w:p>
            <w:pPr>
              <w:jc w:val="right"/>
              <w:ind w:right="479"/>
              <w:spacing w:after="0" w:line="175"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vMerge w:val="restart"/>
          </w:tcPr>
          <w:p>
            <w:pPr>
              <w:jc w:val="right"/>
              <w:ind w:right="459"/>
              <w:spacing w:after="0" w:line="175" w:lineRule="exact"/>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35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0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Net Earnings (Loss) Attributable to Hasbro, Inc.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gridSpan w:val="3"/>
          </w:tcPr>
          <w:p>
            <w:pPr>
              <w:ind w:left="1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0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Income tax expense (benefit)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gridSpan w:val="3"/>
          </w:tcPr>
          <w:p>
            <w:pPr>
              <w:ind w:left="120"/>
              <w:spacing w:after="0"/>
              <w:rPr>
                <w:sz w:val="20"/>
                <w:szCs w:val="20"/>
                <w:color w:val="auto"/>
              </w:rPr>
            </w:pPr>
            <w:r>
              <w:rPr>
                <w:rFonts w:ascii="Arial" w:cs="Arial" w:eastAsia="Arial" w:hAnsi="Arial"/>
                <w:sz w:val="16"/>
                <w:szCs w:val="16"/>
                <w:color w:val="auto"/>
              </w:rPr>
              <w:t>Net earnings attributable to noncontrolling interests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0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Depreciation expense</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506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Amortization of intangibles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060" w:type="dxa"/>
            <w:vAlign w:val="bottom"/>
            <w:gridSpan w:val="3"/>
            <w:shd w:val="clear" w:color="auto" w:fill="CCEEFF"/>
          </w:tcPr>
          <w:p>
            <w:pPr>
              <w:ind w:left="340"/>
              <w:spacing w:after="0"/>
              <w:rPr>
                <w:sz w:val="20"/>
                <w:szCs w:val="20"/>
                <w:color w:val="auto"/>
              </w:rPr>
            </w:pPr>
            <w:r>
              <w:rPr>
                <w:rFonts w:ascii="Arial" w:cs="Arial" w:eastAsia="Arial" w:hAnsi="Arial"/>
                <w:sz w:val="16"/>
                <w:szCs w:val="16"/>
                <w:b w:val="1"/>
                <w:bCs w:val="1"/>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Stock compensation</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ind w:left="120"/>
              <w:spacing w:after="0" w:line="216" w:lineRule="exact"/>
              <w:rPr>
                <w:sz w:val="20"/>
                <w:szCs w:val="20"/>
                <w:color w:val="auto"/>
              </w:rPr>
            </w:pPr>
            <w:r>
              <w:rPr>
                <w:rFonts w:ascii="Arial" w:cs="Arial" w:eastAsia="Arial" w:hAnsi="Arial"/>
                <w:sz w:val="16"/>
                <w:szCs w:val="16"/>
                <w:color w:val="auto"/>
              </w:rPr>
              <w:t xml:space="preserve">Strategic transformation initiatives </w:t>
            </w:r>
            <w:r>
              <w:rPr>
                <w:rFonts w:ascii="Arial" w:cs="Arial" w:eastAsia="Arial" w:hAnsi="Arial"/>
                <w:sz w:val="21"/>
                <w:szCs w:val="21"/>
                <w:color w:val="auto"/>
                <w:vertAlign w:val="superscript"/>
              </w:rPr>
              <w:t>(2)</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60" w:type="dxa"/>
            <w:vAlign w:val="bottom"/>
            <w:gridSpan w:val="3"/>
            <w:shd w:val="clear" w:color="auto" w:fill="CCEEFF"/>
          </w:tcPr>
          <w:p>
            <w:pPr>
              <w:ind w:left="120"/>
              <w:spacing w:after="0" w:line="216" w:lineRule="exact"/>
              <w:rPr>
                <w:sz w:val="20"/>
                <w:szCs w:val="20"/>
                <w:color w:val="auto"/>
              </w:rPr>
            </w:pPr>
            <w:r>
              <w:rPr>
                <w:rFonts w:ascii="Arial" w:cs="Arial" w:eastAsia="Arial" w:hAnsi="Arial"/>
                <w:sz w:val="16"/>
                <w:szCs w:val="16"/>
                <w:color w:val="auto"/>
              </w:rPr>
              <w:t xml:space="preserve">Restructuring and severance costs </w:t>
            </w:r>
            <w:r>
              <w:rPr>
                <w:rFonts w:ascii="Arial" w:cs="Arial" w:eastAsia="Arial" w:hAnsi="Arial"/>
                <w:sz w:val="21"/>
                <w:szCs w:val="21"/>
                <w:color w:val="auto"/>
                <w:vertAlign w:val="superscript"/>
              </w:rPr>
              <w:t>(3)</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ind w:left="120"/>
              <w:spacing w:after="0" w:line="216" w:lineRule="exact"/>
              <w:rPr>
                <w:sz w:val="20"/>
                <w:szCs w:val="20"/>
                <w:color w:val="auto"/>
              </w:rPr>
            </w:pPr>
            <w:r>
              <w:rPr>
                <w:rFonts w:ascii="Arial" w:cs="Arial" w:eastAsia="Arial" w:hAnsi="Arial"/>
                <w:sz w:val="16"/>
                <w:szCs w:val="16"/>
                <w:color w:val="auto"/>
              </w:rPr>
              <w:t xml:space="preserve">Loss on disposal of business </w:t>
            </w:r>
            <w:r>
              <w:rPr>
                <w:rFonts w:ascii="Arial" w:cs="Arial" w:eastAsia="Arial" w:hAnsi="Arial"/>
                <w:sz w:val="21"/>
                <w:szCs w:val="21"/>
                <w:color w:val="auto"/>
                <w:vertAlign w:val="superscript"/>
              </w:rPr>
              <w:t>(4)</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473.0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60" w:type="dxa"/>
            <w:vAlign w:val="bottom"/>
            <w:gridSpan w:val="3"/>
            <w:shd w:val="clear" w:color="auto" w:fill="CCEEFF"/>
          </w:tcPr>
          <w:p>
            <w:pPr>
              <w:ind w:left="120"/>
              <w:spacing w:after="0" w:line="216" w:lineRule="exact"/>
              <w:rPr>
                <w:sz w:val="20"/>
                <w:szCs w:val="20"/>
                <w:color w:val="auto"/>
              </w:rPr>
            </w:pPr>
            <w:r>
              <w:rPr>
                <w:rFonts w:ascii="Arial" w:cs="Arial" w:eastAsia="Arial" w:hAnsi="Arial"/>
                <w:sz w:val="16"/>
                <w:szCs w:val="16"/>
                <w:color w:val="auto"/>
              </w:rPr>
              <w:t xml:space="preserve">eOne Film and TV business divestiture related costs </w:t>
            </w:r>
            <w:r>
              <w:rPr>
                <w:rFonts w:ascii="Arial" w:cs="Arial" w:eastAsia="Arial" w:hAnsi="Arial"/>
                <w:sz w:val="21"/>
                <w:szCs w:val="21"/>
                <w:color w:val="auto"/>
                <w:vertAlign w:val="superscript"/>
              </w:rPr>
              <w:t>(5)</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ind w:left="120"/>
              <w:spacing w:after="0" w:line="216" w:lineRule="exact"/>
              <w:rPr>
                <w:sz w:val="20"/>
                <w:szCs w:val="20"/>
                <w:color w:val="auto"/>
              </w:rPr>
            </w:pPr>
            <w:r>
              <w:rPr>
                <w:rFonts w:ascii="Arial" w:cs="Arial" w:eastAsia="Arial" w:hAnsi="Arial"/>
                <w:sz w:val="16"/>
                <w:szCs w:val="16"/>
                <w:color w:val="auto"/>
              </w:rPr>
              <w:t xml:space="preserve">Impairment of goodwill and intangible assets </w:t>
            </w:r>
            <w:r>
              <w:rPr>
                <w:rFonts w:ascii="Arial" w:cs="Arial" w:eastAsia="Arial" w:hAnsi="Arial"/>
                <w:sz w:val="21"/>
                <w:szCs w:val="21"/>
                <w:color w:val="auto"/>
                <w:vertAlign w:val="superscript"/>
              </w:rPr>
              <w:t>(6)</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296.2</w:t>
            </w:r>
          </w:p>
        </w:tc>
        <w:tc>
          <w:tcPr>
            <w:tcW w:w="0" w:type="dxa"/>
            <w:vAlign w:val="bottom"/>
          </w:tcPr>
          <w:p>
            <w:pPr>
              <w:spacing w:after="0"/>
              <w:rPr>
                <w:sz w:val="1"/>
                <w:szCs w:val="1"/>
                <w:color w:val="auto"/>
              </w:rPr>
            </w:pPr>
          </w:p>
        </w:tc>
      </w:tr>
      <w:tr>
        <w:trPr>
          <w:trHeight w:val="23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06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b w:val="1"/>
                <w:bCs w:val="1"/>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Amounts may not sum due to rounding</w:t>
      </w:r>
    </w:p>
    <w:p>
      <w:pPr>
        <w:spacing w:after="0" w:line="103" w:lineRule="exact"/>
        <w:rPr>
          <w:rFonts w:ascii="Arial" w:cs="Arial" w:eastAsia="Arial" w:hAnsi="Arial"/>
          <w:sz w:val="18"/>
          <w:szCs w:val="18"/>
          <w:color w:val="auto"/>
          <w:vertAlign w:val="superscript"/>
        </w:rPr>
      </w:pPr>
    </w:p>
    <w:p>
      <w:pPr>
        <w:ind w:right="20" w:firstLine="8"/>
        <w:spacing w:after="0" w:line="227" w:lineRule="auto"/>
        <w:tabs>
          <w:tab w:leader="none" w:pos="198"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Strategic transformation initiatives costs represent non-recurring expenses for strategic projects with anticipated long-term benefits to support the organization in identifying, realizing and capturing savings to create efficiencies and improve business processes and operations.</w:t>
      </w:r>
    </w:p>
    <w:p>
      <w:pPr>
        <w:spacing w:after="0" w:line="97" w:lineRule="exact"/>
        <w:rPr>
          <w:rFonts w:ascii="Arial" w:cs="Arial" w:eastAsia="Arial" w:hAnsi="Arial"/>
          <w:sz w:val="21"/>
          <w:szCs w:val="21"/>
          <w:color w:val="auto"/>
          <w:vertAlign w:val="superscript"/>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Restructuring and severance associated with cost-savings initiatives across the Company.</w:t>
      </w:r>
    </w:p>
    <w:p>
      <w:pPr>
        <w:spacing w:after="0" w:line="90" w:lineRule="exact"/>
        <w:rPr>
          <w:rFonts w:ascii="Arial" w:cs="Arial" w:eastAsia="Arial" w:hAnsi="Arial"/>
          <w:sz w:val="18"/>
          <w:szCs w:val="18"/>
          <w:color w:val="auto"/>
          <w:vertAlign w:val="superscript"/>
        </w:rPr>
      </w:pPr>
    </w:p>
    <w:p>
      <w:pPr>
        <w:ind w:firstLine="8"/>
        <w:spacing w:after="0" w:line="241" w:lineRule="auto"/>
        <w:tabs>
          <w:tab w:leader="none" w:pos="178" w:val="left"/>
        </w:tabs>
        <w:numPr>
          <w:ilvl w:val="0"/>
          <w:numId w:val="21"/>
        </w:numPr>
        <w:rPr>
          <w:rFonts w:ascii="Arial" w:cs="Arial" w:eastAsia="Arial" w:hAnsi="Arial"/>
          <w:sz w:val="20"/>
          <w:szCs w:val="20"/>
          <w:color w:val="auto"/>
          <w:vertAlign w:val="superscript"/>
        </w:rPr>
      </w:pPr>
      <w:r>
        <w:rPr>
          <w:rFonts w:ascii="Arial" w:cs="Arial" w:eastAsia="Arial" w:hAnsi="Arial"/>
          <w:sz w:val="15"/>
          <w:szCs w:val="15"/>
          <w:color w:val="auto"/>
        </w:rPr>
        <w:t>Loss on disposal of a business related to the sale of the eOne Film and TV business executed on December 27, 2023. The costs are included in Loss on Disposal of Business within the Entertainment segment.</w:t>
      </w:r>
    </w:p>
    <w:p>
      <w:pPr>
        <w:spacing w:after="0" w:line="68" w:lineRule="exact"/>
        <w:rPr>
          <w:rFonts w:ascii="Arial" w:cs="Arial" w:eastAsia="Arial" w:hAnsi="Arial"/>
          <w:sz w:val="20"/>
          <w:szCs w:val="20"/>
          <w:color w:val="auto"/>
          <w:vertAlign w:val="superscript"/>
        </w:rPr>
      </w:pPr>
    </w:p>
    <w:p>
      <w:pPr>
        <w:ind w:left="180" w:hanging="172"/>
        <w:spacing w:after="0"/>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eOne Film and TV business divestiture related costs as a result of the sale of the eOne Film and TV business and certain retained liabilities.</w:t>
      </w:r>
    </w:p>
    <w:p>
      <w:pPr>
        <w:spacing w:after="0" w:line="82" w:lineRule="exact"/>
        <w:rPr>
          <w:rFonts w:ascii="Arial" w:cs="Arial" w:eastAsia="Arial" w:hAnsi="Arial"/>
          <w:sz w:val="21"/>
          <w:szCs w:val="21"/>
          <w:color w:val="auto"/>
          <w:vertAlign w:val="superscript"/>
        </w:rPr>
      </w:pPr>
    </w:p>
    <w:p>
      <w:pPr>
        <w:ind w:firstLine="8"/>
        <w:spacing w:after="0"/>
        <w:tabs>
          <w:tab w:leader="none" w:pos="171" w:val="left"/>
        </w:tabs>
        <w:numPr>
          <w:ilvl w:val="0"/>
          <w:numId w:val="21"/>
        </w:numPr>
        <w:rPr>
          <w:rFonts w:ascii="Arial" w:cs="Arial" w:eastAsia="Arial" w:hAnsi="Arial"/>
          <w:sz w:val="20"/>
          <w:szCs w:val="20"/>
          <w:color w:val="auto"/>
          <w:vertAlign w:val="superscript"/>
        </w:rPr>
      </w:pPr>
      <w:r>
        <w:rPr>
          <w:rFonts w:ascii="Arial" w:cs="Arial" w:eastAsia="Arial" w:hAnsi="Arial"/>
          <w:sz w:val="15"/>
          <w:szCs w:val="15"/>
          <w:color w:val="auto"/>
        </w:rPr>
        <w:t>Impairment of goodwill and intangible assets represent non-cash charges incurred within the Entertainment segment related to the eOne Film and TV business.</w:t>
      </w:r>
    </w:p>
    <w:p>
      <w:pPr>
        <w:sectPr>
          <w:pgSz w:w="11900" w:h="16838" w:orient="portrait"/>
          <w:cols w:equalWidth="0" w:num="1">
            <w:col w:w="11240"/>
          </w:cols>
          <w:pgMar w:left="320" w:top="875" w:right="339" w:bottom="1440" w:gutter="0" w:footer="0" w:header="0"/>
        </w:sectPr>
      </w:pPr>
    </w:p>
    <w:bookmarkStart w:id="16" w:name="page17"/>
    <w:bookmarkEnd w:id="16"/>
    <w:p>
      <w:pPr>
        <w:spacing w:after="0"/>
        <w:rPr>
          <w:sz w:val="20"/>
          <w:szCs w:val="20"/>
          <w:color w:val="auto"/>
        </w:rPr>
      </w:pPr>
      <w:r>
        <w:rPr>
          <w:rFonts w:ascii="Arial" w:cs="Arial" w:eastAsia="Arial" w:hAnsi="Arial"/>
          <w:sz w:val="29"/>
          <w:szCs w:val="29"/>
          <w:b w:val="1"/>
          <w:bCs w:val="1"/>
          <w:color w:val="auto"/>
        </w:rPr>
        <w:t>HASBRO, INC.</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RECONCILIATION</w:t>
      </w: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(Millions of Dollars)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Profit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85"/>
              </w:rPr>
              <w:t>(1)</w:t>
            </w: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September 29,</w:t>
            </w:r>
          </w:p>
        </w:tc>
        <w:tc>
          <w:tcPr>
            <w:tcW w:w="220" w:type="dxa"/>
            <w:vAlign w:val="bottom"/>
          </w:tcPr>
          <w:p>
            <w:pPr>
              <w:spacing w:after="0"/>
              <w:rPr>
                <w:sz w:val="13"/>
                <w:szCs w:val="13"/>
                <w:color w:val="auto"/>
              </w:rPr>
            </w:pPr>
          </w:p>
        </w:tc>
        <w:tc>
          <w:tcPr>
            <w:tcW w:w="1320" w:type="dxa"/>
            <w:vAlign w:val="bottom"/>
            <w:gridSpan w:val="2"/>
          </w:tcPr>
          <w:p>
            <w:pPr>
              <w:ind w:left="100"/>
              <w:spacing w:after="0" w:line="155" w:lineRule="exact"/>
              <w:rPr>
                <w:sz w:val="20"/>
                <w:szCs w:val="20"/>
                <w:color w:val="auto"/>
              </w:rPr>
            </w:pPr>
            <w:r>
              <w:rPr>
                <w:rFonts w:ascii="Arial" w:cs="Arial" w:eastAsia="Arial" w:hAnsi="Arial"/>
                <w:sz w:val="16"/>
                <w:szCs w:val="16"/>
                <w:b w:val="1"/>
                <w:bCs w:val="1"/>
                <w:color w:val="auto"/>
              </w:rPr>
              <w:t>October 1,</w:t>
            </w:r>
          </w:p>
        </w:tc>
        <w:tc>
          <w:tcPr>
            <w:tcW w:w="140" w:type="dxa"/>
            <w:vAlign w:val="bottom"/>
          </w:tcPr>
          <w:p>
            <w:pPr>
              <w:spacing w:after="0"/>
              <w:rPr>
                <w:sz w:val="13"/>
                <w:szCs w:val="13"/>
                <w:color w:val="auto"/>
              </w:rPr>
            </w:pPr>
          </w:p>
        </w:tc>
        <w:tc>
          <w:tcPr>
            <w:tcW w:w="142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auto"/>
              </w:rPr>
              <w:t>September 29,</w:t>
            </w:r>
          </w:p>
        </w:tc>
        <w:tc>
          <w:tcPr>
            <w:tcW w:w="220" w:type="dxa"/>
            <w:vAlign w:val="bottom"/>
          </w:tcPr>
          <w:p>
            <w:pPr>
              <w:spacing w:after="0"/>
              <w:rPr>
                <w:sz w:val="13"/>
                <w:szCs w:val="13"/>
                <w:color w:val="auto"/>
              </w:rPr>
            </w:pPr>
          </w:p>
        </w:tc>
        <w:tc>
          <w:tcPr>
            <w:tcW w:w="1240" w:type="dxa"/>
            <w:vAlign w:val="bottom"/>
          </w:tcPr>
          <w:p>
            <w:pPr>
              <w:jc w:val="right"/>
              <w:ind w:right="259"/>
              <w:spacing w:after="0" w:line="155" w:lineRule="exact"/>
              <w:rPr>
                <w:sz w:val="20"/>
                <w:szCs w:val="20"/>
                <w:color w:val="auto"/>
              </w:rPr>
            </w:pPr>
            <w:r>
              <w:rPr>
                <w:rFonts w:ascii="Arial" w:cs="Arial" w:eastAsia="Arial" w:hAnsi="Arial"/>
                <w:sz w:val="16"/>
                <w:szCs w:val="16"/>
                <w:b w:val="1"/>
                <w:bCs w:val="1"/>
                <w:color w:val="auto"/>
              </w:rPr>
              <w:t>October 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420" w:type="dxa"/>
            <w:vAlign w:val="bottom"/>
            <w:vMerge w:val="continue"/>
          </w:tcPr>
          <w:p>
            <w:pPr>
              <w:spacing w:after="0"/>
              <w:rPr>
                <w:sz w:val="9"/>
                <w:szCs w:val="9"/>
                <w:color w:val="auto"/>
              </w:rPr>
            </w:pPr>
          </w:p>
        </w:tc>
        <w:tc>
          <w:tcPr>
            <w:tcW w:w="140" w:type="dxa"/>
            <w:vAlign w:val="bottom"/>
            <w:tcBorders>
              <w:bottom w:val="single" w:sz="8" w:color="auto"/>
            </w:tcBorders>
            <w:vMerge w:val="continue"/>
          </w:tcPr>
          <w:p>
            <w:pPr>
              <w:spacing w:after="0"/>
              <w:rPr>
                <w:sz w:val="9"/>
                <w:szCs w:val="9"/>
                <w:color w:val="auto"/>
              </w:rPr>
            </w:pPr>
          </w:p>
        </w:tc>
        <w:tc>
          <w:tcPr>
            <w:tcW w:w="128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vMerge w:val="restart"/>
          </w:tcPr>
          <w:p>
            <w:pPr>
              <w:jc w:val="right"/>
              <w:ind w:right="459"/>
              <w:spacing w:after="0" w:line="175"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vMerge w:val="restart"/>
          </w:tcPr>
          <w:p>
            <w:pPr>
              <w:jc w:val="right"/>
              <w:ind w:right="479"/>
              <w:spacing w:after="0" w:line="175" w:lineRule="exact"/>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vMerge w:val="restart"/>
          </w:tcPr>
          <w:p>
            <w:pPr>
              <w:jc w:val="right"/>
              <w:ind w:right="479"/>
              <w:spacing w:after="0" w:line="175"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vMerge w:val="restart"/>
          </w:tcPr>
          <w:p>
            <w:pPr>
              <w:jc w:val="right"/>
              <w:ind w:right="479"/>
              <w:spacing w:after="0" w:line="175" w:lineRule="exact"/>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42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84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b w:val="1"/>
                <w:bCs w:val="1"/>
                <w:color w:val="auto"/>
              </w:rPr>
              <w:t>Operating Profit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301.9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630.2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(340.2)</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Consumer Products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40" w:type="dxa"/>
            <w:vAlign w:val="bottom"/>
            <w:gridSpan w:val="3"/>
          </w:tcPr>
          <w:p>
            <w:pPr>
              <w:ind w:left="120"/>
              <w:spacing w:after="0"/>
              <w:rPr>
                <w:sz w:val="20"/>
                <w:szCs w:val="20"/>
                <w:color w:val="auto"/>
              </w:rPr>
            </w:pPr>
            <w:r>
              <w:rPr>
                <w:rFonts w:ascii="Arial" w:cs="Arial" w:eastAsia="Arial" w:hAnsi="Arial"/>
                <w:sz w:val="16"/>
                <w:szCs w:val="16"/>
                <w:color w:val="auto"/>
              </w:rPr>
              <w:t>Wizards of the Coast and Digital Gaming</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422.5</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Entertainment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40" w:type="dxa"/>
            <w:vAlign w:val="bottom"/>
            <w:gridSpan w:val="3"/>
          </w:tcPr>
          <w:p>
            <w:pPr>
              <w:ind w:left="120"/>
              <w:spacing w:after="0"/>
              <w:rPr>
                <w:sz w:val="20"/>
                <w:szCs w:val="20"/>
                <w:color w:val="auto"/>
              </w:rPr>
            </w:pPr>
            <w:r>
              <w:rPr>
                <w:rFonts w:ascii="Arial" w:cs="Arial" w:eastAsia="Arial" w:hAnsi="Arial"/>
                <w:sz w:val="16"/>
                <w:szCs w:val="16"/>
                <w:color w:val="auto"/>
              </w:rPr>
              <w:t>Corporate and Other</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84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b w:val="1"/>
                <w:bCs w:val="1"/>
                <w:color w:val="auto"/>
              </w:rPr>
              <w:t>Non-GAAP Adjustments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512.1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866.8</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Consumer Products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40" w:type="dxa"/>
            <w:vAlign w:val="bottom"/>
            <w:gridSpan w:val="3"/>
          </w:tcPr>
          <w:p>
            <w:pPr>
              <w:ind w:left="120"/>
              <w:spacing w:after="0"/>
              <w:rPr>
                <w:sz w:val="20"/>
                <w:szCs w:val="20"/>
                <w:color w:val="auto"/>
              </w:rPr>
            </w:pPr>
            <w:r>
              <w:rPr>
                <w:rFonts w:ascii="Arial" w:cs="Arial" w:eastAsia="Arial" w:hAnsi="Arial"/>
                <w:sz w:val="16"/>
                <w:szCs w:val="16"/>
                <w:color w:val="auto"/>
              </w:rPr>
              <w:t>Entertainment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786.2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Corporate and Other</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Adjusted Operating Profit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328.7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342.6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726.1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3"/>
          </w:tcPr>
          <w:p>
            <w:pPr>
              <w:ind w:left="120"/>
              <w:spacing w:after="0"/>
              <w:rPr>
                <w:sz w:val="20"/>
                <w:szCs w:val="20"/>
                <w:color w:val="auto"/>
              </w:rPr>
            </w:pPr>
            <w:r>
              <w:rPr>
                <w:rFonts w:ascii="Arial" w:cs="Arial" w:eastAsia="Arial" w:hAnsi="Arial"/>
                <w:sz w:val="16"/>
                <w:szCs w:val="16"/>
                <w:color w:val="auto"/>
              </w:rPr>
              <w:t>Consumer Products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Wizards of the Coast and Digital Gaming</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40" w:type="dxa"/>
            <w:vAlign w:val="bottom"/>
            <w:gridSpan w:val="3"/>
          </w:tcPr>
          <w:p>
            <w:pPr>
              <w:ind w:left="120"/>
              <w:spacing w:after="0"/>
              <w:rPr>
                <w:sz w:val="20"/>
                <w:szCs w:val="20"/>
                <w:color w:val="auto"/>
              </w:rPr>
            </w:pPr>
            <w:r>
              <w:rPr>
                <w:rFonts w:ascii="Arial" w:cs="Arial" w:eastAsia="Arial" w:hAnsi="Arial"/>
                <w:sz w:val="16"/>
                <w:szCs w:val="16"/>
                <w:color w:val="auto"/>
              </w:rPr>
              <w:t>Entertainment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Corporate and Other</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Non-GAAP Adjustments include the following:</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40"/>
              <w:spacing w:after="0" w:line="216" w:lineRule="exact"/>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40" w:type="dxa"/>
            <w:vAlign w:val="bottom"/>
            <w:gridSpan w:val="3"/>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Acquired intangible amortization </w:t>
            </w:r>
            <w:r>
              <w:rPr>
                <w:rFonts w:ascii="Arial" w:cs="Arial" w:eastAsia="Arial" w:hAnsi="Arial"/>
                <w:sz w:val="21"/>
                <w:szCs w:val="21"/>
                <w:color w:val="auto"/>
                <w:vertAlign w:val="superscript"/>
              </w:rPr>
              <w:t>(3)</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40"/>
              <w:spacing w:after="0" w:line="216" w:lineRule="exact"/>
              <w:rPr>
                <w:sz w:val="20"/>
                <w:szCs w:val="20"/>
                <w:color w:val="auto"/>
              </w:rPr>
            </w:pPr>
            <w:r>
              <w:rPr>
                <w:rFonts w:ascii="Arial" w:cs="Arial" w:eastAsia="Arial" w:hAnsi="Arial"/>
                <w:sz w:val="16"/>
                <w:szCs w:val="16"/>
                <w:color w:val="auto"/>
              </w:rPr>
              <w:t xml:space="preserve">Strategic transformation initiatives </w:t>
            </w:r>
            <w:r>
              <w:rPr>
                <w:rFonts w:ascii="Arial" w:cs="Arial" w:eastAsia="Arial" w:hAnsi="Arial"/>
                <w:sz w:val="21"/>
                <w:szCs w:val="21"/>
                <w:color w:val="auto"/>
                <w:vertAlign w:val="superscript"/>
              </w:rPr>
              <w:t>(4)</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40" w:type="dxa"/>
            <w:vAlign w:val="bottom"/>
            <w:gridSpan w:val="3"/>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Restructuring and severance costs </w:t>
            </w:r>
            <w:r>
              <w:rPr>
                <w:rFonts w:ascii="Arial" w:cs="Arial" w:eastAsia="Arial" w:hAnsi="Arial"/>
                <w:sz w:val="21"/>
                <w:szCs w:val="21"/>
                <w:color w:val="auto"/>
                <w:vertAlign w:val="superscript"/>
              </w:rPr>
              <w:t>(5)</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40"/>
              <w:spacing w:after="0" w:line="216" w:lineRule="exact"/>
              <w:rPr>
                <w:sz w:val="20"/>
                <w:szCs w:val="20"/>
                <w:color w:val="auto"/>
              </w:rPr>
            </w:pPr>
            <w:r>
              <w:rPr>
                <w:rFonts w:ascii="Arial" w:cs="Arial" w:eastAsia="Arial" w:hAnsi="Arial"/>
                <w:sz w:val="16"/>
                <w:szCs w:val="16"/>
                <w:color w:val="auto"/>
              </w:rPr>
              <w:t xml:space="preserve">Loss on disposal of business </w:t>
            </w:r>
            <w:r>
              <w:rPr>
                <w:rFonts w:ascii="Arial" w:cs="Arial" w:eastAsia="Arial" w:hAnsi="Arial"/>
                <w:sz w:val="21"/>
                <w:szCs w:val="21"/>
                <w:color w:val="auto"/>
                <w:vertAlign w:val="superscript"/>
              </w:rPr>
              <w:t>(6)</w:t>
            </w: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473.0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40" w:type="dxa"/>
            <w:vAlign w:val="bottom"/>
            <w:gridSpan w:val="3"/>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eOne Film and TV business divestiture related costs </w:t>
            </w:r>
            <w:r>
              <w:rPr>
                <w:rFonts w:ascii="Arial" w:cs="Arial" w:eastAsia="Arial" w:hAnsi="Arial"/>
                <w:sz w:val="21"/>
                <w:szCs w:val="21"/>
                <w:color w:val="auto"/>
                <w:vertAlign w:val="superscript"/>
              </w:rPr>
              <w:t>(7)</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40"/>
              <w:spacing w:after="0" w:line="216" w:lineRule="exact"/>
              <w:rPr>
                <w:sz w:val="20"/>
                <w:szCs w:val="20"/>
                <w:color w:val="auto"/>
              </w:rPr>
            </w:pPr>
            <w:r>
              <w:rPr>
                <w:rFonts w:ascii="Arial" w:cs="Arial" w:eastAsia="Arial" w:hAnsi="Arial"/>
                <w:sz w:val="16"/>
                <w:szCs w:val="16"/>
                <w:color w:val="auto"/>
              </w:rPr>
              <w:t xml:space="preserve">Impairment of goodwill and intangible assets </w:t>
            </w:r>
            <w:r>
              <w:rPr>
                <w:rFonts w:ascii="Arial" w:cs="Arial" w:eastAsia="Arial" w:hAnsi="Arial"/>
                <w:sz w:val="21"/>
                <w:szCs w:val="21"/>
                <w:color w:val="auto"/>
                <w:vertAlign w:val="superscript"/>
              </w:rPr>
              <w:t>(8)</w:t>
            </w: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296.2</w:t>
            </w:r>
          </w:p>
        </w:tc>
        <w:tc>
          <w:tcPr>
            <w:tcW w:w="0" w:type="dxa"/>
            <w:vAlign w:val="bottom"/>
          </w:tcPr>
          <w:p>
            <w:pPr>
              <w:spacing w:after="0"/>
              <w:rPr>
                <w:sz w:val="1"/>
                <w:szCs w:val="1"/>
                <w:color w:val="auto"/>
              </w:rPr>
            </w:pPr>
          </w:p>
        </w:tc>
      </w:tr>
      <w:tr>
        <w:trPr>
          <w:trHeight w:val="23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840" w:type="dxa"/>
            <w:vAlign w:val="bottom"/>
            <w:tcBorders>
              <w:top w:val="single" w:sz="8" w:color="CCEEFF"/>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9"/>
          <w:szCs w:val="9"/>
          <w:color w:val="auto"/>
        </w:rPr>
      </w:pPr>
      <w:r>
        <w:rPr>
          <w:rFonts w:ascii="Arial" w:cs="Arial" w:eastAsia="Arial" w:hAnsi="Arial"/>
          <w:sz w:val="14"/>
          <w:szCs w:val="14"/>
          <w:color w:val="auto"/>
        </w:rPr>
        <w:t>Amounts may not sum due to rounding</w:t>
      </w:r>
    </w:p>
    <w:p>
      <w:pPr>
        <w:spacing w:after="0" w:line="122" w:lineRule="exact"/>
        <w:rPr>
          <w:rFonts w:ascii="Arial" w:cs="Arial" w:eastAsia="Arial" w:hAnsi="Arial"/>
          <w:sz w:val="9"/>
          <w:szCs w:val="9"/>
          <w:color w:val="auto"/>
        </w:rPr>
      </w:pPr>
    </w:p>
    <w:p>
      <w:pPr>
        <w:ind w:left="160" w:hanging="152"/>
        <w:spacing w:after="0"/>
        <w:tabs>
          <w:tab w:leader="none" w:pos="160" w:val="left"/>
        </w:tabs>
        <w:numPr>
          <w:ilvl w:val="0"/>
          <w:numId w:val="22"/>
        </w:numPr>
        <w:rPr>
          <w:rFonts w:ascii="Arial" w:cs="Arial" w:eastAsia="Arial" w:hAnsi="Arial"/>
          <w:sz w:val="9"/>
          <w:szCs w:val="9"/>
          <w:color w:val="auto"/>
        </w:rPr>
      </w:pPr>
      <w:r>
        <w:rPr>
          <w:rFonts w:ascii="Arial" w:cs="Arial" w:eastAsia="Arial" w:hAnsi="Arial"/>
          <w:sz w:val="14"/>
          <w:szCs w:val="14"/>
          <w:color w:val="auto"/>
        </w:rPr>
        <w:t>In association with the Company's acquisition of eOne, the Company incurred stock compensation expenses included within Selling, Distribution and Administration.</w:t>
      </w:r>
    </w:p>
    <w:p>
      <w:pPr>
        <w:spacing w:after="0" w:line="122" w:lineRule="exact"/>
        <w:rPr>
          <w:rFonts w:ascii="Arial" w:cs="Arial" w:eastAsia="Arial" w:hAnsi="Arial"/>
          <w:sz w:val="9"/>
          <w:szCs w:val="9"/>
          <w:color w:val="auto"/>
        </w:rPr>
      </w:pPr>
    </w:p>
    <w:p>
      <w:pPr>
        <w:jc w:val="both"/>
        <w:ind w:right="20" w:firstLine="8"/>
        <w:spacing w:after="0" w:line="415" w:lineRule="auto"/>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Represents intangible amortization costs related to the intangible assets acquired in the eOne acquisition. The Company has allocated certain of these intangible amortization costs between the Consumer Products and Entertainment segments, to match the revenue generated from such intangible assets. While amortization of acquired intangibles is being excluded from the related GAAP financial measure, the revenue of the acquired company is reflected within the Company's operating results to which these assets contribute.</w:t>
      </w:r>
    </w:p>
    <w:p>
      <w:pPr>
        <w:spacing w:after="0" w:line="1" w:lineRule="exact"/>
        <w:rPr>
          <w:rFonts w:ascii="Arial" w:cs="Arial" w:eastAsia="Arial" w:hAnsi="Arial"/>
          <w:sz w:val="16"/>
          <w:szCs w:val="16"/>
          <w:color w:val="auto"/>
          <w:vertAlign w:val="superscript"/>
        </w:rPr>
      </w:pPr>
    </w:p>
    <w:p>
      <w:pPr>
        <w:ind w:firstLine="8"/>
        <w:spacing w:after="0" w:line="305" w:lineRule="auto"/>
        <w:tabs>
          <w:tab w:leader="none" w:pos="140" w:val="left"/>
        </w:tabs>
        <w:numPr>
          <w:ilvl w:val="0"/>
          <w:numId w:val="22"/>
        </w:numPr>
        <w:rPr>
          <w:rFonts w:ascii="Arial" w:cs="Arial" w:eastAsia="Arial" w:hAnsi="Arial"/>
          <w:sz w:val="9"/>
          <w:szCs w:val="9"/>
          <w:color w:val="auto"/>
        </w:rPr>
      </w:pPr>
      <w:r>
        <w:rPr>
          <w:rFonts w:ascii="Arial" w:cs="Arial" w:eastAsia="Arial" w:hAnsi="Arial"/>
          <w:sz w:val="14"/>
          <w:szCs w:val="14"/>
          <w:color w:val="auto"/>
        </w:rPr>
        <w:t>Strategic transformation initiatives costs represent non-recurring expenses for strategic projects with anticipated long-term benefits to support the organization in identifying, realizing and capturing savings to create efficiencies and improve business processes and operations.</w:t>
      </w:r>
    </w:p>
    <w:p>
      <w:pPr>
        <w:spacing w:after="0" w:line="49" w:lineRule="exact"/>
        <w:rPr>
          <w:rFonts w:ascii="Arial" w:cs="Arial" w:eastAsia="Arial" w:hAnsi="Arial"/>
          <w:sz w:val="9"/>
          <w:szCs w:val="9"/>
          <w:color w:val="auto"/>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Restructuring and severance costs associated with cost-savings initiatives across the Company.</w:t>
      </w:r>
    </w:p>
    <w:p>
      <w:pPr>
        <w:spacing w:after="0" w:line="99" w:lineRule="exact"/>
        <w:rPr>
          <w:rFonts w:ascii="Arial" w:cs="Arial" w:eastAsia="Arial" w:hAnsi="Arial"/>
          <w:sz w:val="16"/>
          <w:szCs w:val="16"/>
          <w:color w:val="auto"/>
          <w:vertAlign w:val="superscript"/>
        </w:rPr>
      </w:pPr>
    </w:p>
    <w:p>
      <w:pPr>
        <w:ind w:right="20" w:firstLine="8"/>
        <w:spacing w:after="0" w:line="222" w:lineRule="auto"/>
        <w:tabs>
          <w:tab w:leader="none" w:pos="173"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Loss on disposal of a business related to the sale of the eOne Film and TV business executed on December 27, 2023. The costs are included in Loss on Disposal of Business within the Entertainment segment.</w:t>
      </w:r>
    </w:p>
    <w:p>
      <w:pPr>
        <w:spacing w:after="0" w:line="77"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eOne Film and TV business divestiture related costs as a result of the sale of the eOne Film and TV business and certain retained liabilities.</w:t>
      </w:r>
    </w:p>
    <w:p>
      <w:pPr>
        <w:spacing w:after="0" w:line="93"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Impairment of goodwill and intangible assets represent non-cash charges incurred within the Entertainment segment related to the eOne Film and TV business.</w:t>
      </w:r>
    </w:p>
    <w:p>
      <w:pPr>
        <w:sectPr>
          <w:pgSz w:w="11900" w:h="16838" w:orient="portrait"/>
          <w:cols w:equalWidth="0" w:num="1">
            <w:col w:w="11240"/>
          </w:cols>
          <w:pgMar w:left="320" w:top="875" w:right="339" w:bottom="1440" w:gutter="0" w:footer="0" w:header="0"/>
        </w:sectPr>
      </w:pPr>
    </w:p>
    <w:bookmarkStart w:id="17" w:name="page18"/>
    <w:bookmarkEnd w:id="17"/>
    <w:p>
      <w:pPr>
        <w:spacing w:after="0"/>
        <w:rPr>
          <w:sz w:val="20"/>
          <w:szCs w:val="20"/>
          <w:color w:val="auto"/>
        </w:rPr>
      </w:pPr>
      <w:r>
        <w:rPr>
          <w:rFonts w:ascii="Arial" w:cs="Arial" w:eastAsia="Arial" w:hAnsi="Arial"/>
          <w:sz w:val="29"/>
          <w:szCs w:val="29"/>
          <w:b w:val="1"/>
          <w:bCs w:val="1"/>
          <w:color w:val="auto"/>
        </w:rPr>
        <w:t>HASBRO, INC.</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RECONCILIATION</w:t>
      </w: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(Millions of Dollars and Shares, Except Per Share Data)</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Reconciliation of Net Earnings and Earnings per Share</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tbl>
      <w:tblPr>
        <w:tblLayout w:type="fixed"/>
        <w:tblInd w:w="0" w:type="dxa"/>
        <w:tblCellMar>
          <w:top w:w="0" w:type="dxa"/>
          <w:left w:w="0" w:type="dxa"/>
          <w:bottom w:w="0" w:type="dxa"/>
          <w:right w:w="0" w:type="dxa"/>
        </w:tblCellMar>
      </w:tblPr>
      <w:tr>
        <w:trPr>
          <w:trHeight w:val="201"/>
        </w:trPr>
        <w:tc>
          <w:tcPr>
            <w:tcW w:w="46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640" w:type="dxa"/>
            <w:vAlign w:val="bottom"/>
          </w:tcPr>
          <w:p>
            <w:pPr>
              <w:spacing w:after="0"/>
              <w:rPr>
                <w:sz w:val="13"/>
                <w:szCs w:val="13"/>
                <w:color w:val="auto"/>
              </w:rPr>
            </w:pPr>
          </w:p>
        </w:tc>
        <w:tc>
          <w:tcPr>
            <w:tcW w:w="16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September 29, 2024</w:t>
            </w:r>
          </w:p>
        </w:tc>
        <w:tc>
          <w:tcPr>
            <w:tcW w:w="100" w:type="dxa"/>
            <w:vAlign w:val="bottom"/>
          </w:tcPr>
          <w:p>
            <w:pPr>
              <w:spacing w:after="0"/>
              <w:rPr>
                <w:sz w:val="13"/>
                <w:szCs w:val="13"/>
                <w:color w:val="auto"/>
              </w:rPr>
            </w:pPr>
          </w:p>
        </w:tc>
        <w:tc>
          <w:tcPr>
            <w:tcW w:w="156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rPr>
              <w:t>Diluted Per Share</w:t>
            </w:r>
          </w:p>
        </w:tc>
        <w:tc>
          <w:tcPr>
            <w:tcW w:w="160" w:type="dxa"/>
            <w:vAlign w:val="bottom"/>
          </w:tcPr>
          <w:p>
            <w:pPr>
              <w:spacing w:after="0"/>
              <w:rPr>
                <w:sz w:val="13"/>
                <w:szCs w:val="13"/>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October 1, 2023</w:t>
            </w:r>
          </w:p>
        </w:tc>
        <w:tc>
          <w:tcPr>
            <w:tcW w:w="120" w:type="dxa"/>
            <w:vAlign w:val="bottom"/>
          </w:tcPr>
          <w:p>
            <w:pPr>
              <w:spacing w:after="0"/>
              <w:rPr>
                <w:sz w:val="13"/>
                <w:szCs w:val="13"/>
                <w:color w:val="auto"/>
              </w:rPr>
            </w:pPr>
          </w:p>
        </w:tc>
        <w:tc>
          <w:tcPr>
            <w:tcW w:w="146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Diluted Per Share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Amount</w:t>
            </w:r>
          </w:p>
        </w:tc>
        <w:tc>
          <w:tcPr>
            <w:tcW w:w="16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Earnings (Loss) Attributable to Hasbro</w:t>
            </w: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6"/>
        </w:trPr>
        <w:tc>
          <w:tcPr>
            <w:tcW w:w="464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Acquired Intangible Amortization </w:t>
            </w:r>
            <w:r>
              <w:rPr>
                <w:rFonts w:ascii="Arial" w:cs="Arial" w:eastAsia="Arial" w:hAnsi="Arial"/>
                <w:sz w:val="21"/>
                <w:szCs w:val="21"/>
                <w:color w:val="auto"/>
                <w:vertAlign w:val="superscript"/>
              </w:rPr>
              <w:t>(3)</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 xml:space="preserve">Strategic transformation initiatives </w:t>
            </w:r>
            <w:r>
              <w:rPr>
                <w:rFonts w:ascii="Arial" w:cs="Arial" w:eastAsia="Arial" w:hAnsi="Arial"/>
                <w:sz w:val="21"/>
                <w:szCs w:val="21"/>
                <w:color w:val="auto"/>
                <w:vertAlign w:val="superscript"/>
              </w:rPr>
              <w:t>(4)</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30"/>
        </w:trPr>
        <w:tc>
          <w:tcPr>
            <w:tcW w:w="4640" w:type="dxa"/>
            <w:vAlign w:val="bottom"/>
          </w:tcPr>
          <w:p>
            <w:pPr>
              <w:ind w:left="240"/>
              <w:spacing w:after="0" w:line="230" w:lineRule="exact"/>
              <w:rPr>
                <w:sz w:val="20"/>
                <w:szCs w:val="20"/>
                <w:color w:val="auto"/>
              </w:rPr>
            </w:pPr>
            <w:r>
              <w:rPr>
                <w:rFonts w:ascii="Arial" w:cs="Arial" w:eastAsia="Arial" w:hAnsi="Arial"/>
                <w:sz w:val="16"/>
                <w:szCs w:val="16"/>
                <w:color w:val="auto"/>
              </w:rPr>
              <w:t xml:space="preserve">Restructuring and severance costs </w:t>
            </w:r>
            <w:r>
              <w:rPr>
                <w:rFonts w:ascii="Arial" w:cs="Arial" w:eastAsia="Arial" w:hAnsi="Arial"/>
                <w:sz w:val="21"/>
                <w:szCs w:val="21"/>
                <w:color w:val="auto"/>
                <w:vertAlign w:val="superscript"/>
              </w:rPr>
              <w:t>(5)</w:t>
            </w: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 xml:space="preserve">Loss on disposal of business </w:t>
            </w:r>
            <w:r>
              <w:rPr>
                <w:rFonts w:ascii="Arial" w:cs="Arial" w:eastAsia="Arial" w:hAnsi="Arial"/>
                <w:sz w:val="21"/>
                <w:szCs w:val="21"/>
                <w:color w:val="auto"/>
                <w:vertAlign w:val="superscript"/>
              </w:rPr>
              <w:t>(6)</w:t>
            </w:r>
          </w:p>
        </w:tc>
        <w:tc>
          <w:tcPr>
            <w:tcW w:w="6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 xml:space="preserve">eOne Film and TV business sale process charges </w:t>
            </w:r>
            <w:r>
              <w:rPr>
                <w:rFonts w:ascii="Arial" w:cs="Arial" w:eastAsia="Arial" w:hAnsi="Arial"/>
                <w:sz w:val="21"/>
                <w:szCs w:val="21"/>
                <w:color w:val="auto"/>
                <w:vertAlign w:val="superscript"/>
              </w:rPr>
              <w:t>(7)</w:t>
            </w: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34"/>
        </w:trPr>
        <w:tc>
          <w:tcPr>
            <w:tcW w:w="4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Earnings Attributable to Hasbro as Adjusted</w:t>
            </w: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6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640" w:type="dxa"/>
            <w:vAlign w:val="bottom"/>
          </w:tcPr>
          <w:p>
            <w:pPr>
              <w:spacing w:after="0"/>
              <w:rPr>
                <w:sz w:val="13"/>
                <w:szCs w:val="13"/>
                <w:color w:val="auto"/>
              </w:rPr>
            </w:pPr>
          </w:p>
        </w:tc>
        <w:tc>
          <w:tcPr>
            <w:tcW w:w="16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September 29, 2024</w:t>
            </w:r>
          </w:p>
        </w:tc>
        <w:tc>
          <w:tcPr>
            <w:tcW w:w="100" w:type="dxa"/>
            <w:vAlign w:val="bottom"/>
          </w:tcPr>
          <w:p>
            <w:pPr>
              <w:spacing w:after="0"/>
              <w:rPr>
                <w:sz w:val="13"/>
                <w:szCs w:val="13"/>
                <w:color w:val="auto"/>
              </w:rPr>
            </w:pPr>
          </w:p>
        </w:tc>
        <w:tc>
          <w:tcPr>
            <w:tcW w:w="156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rPr>
              <w:t>Diluted Per Share</w:t>
            </w:r>
          </w:p>
        </w:tc>
        <w:tc>
          <w:tcPr>
            <w:tcW w:w="160" w:type="dxa"/>
            <w:vAlign w:val="bottom"/>
          </w:tcPr>
          <w:p>
            <w:pPr>
              <w:spacing w:after="0"/>
              <w:rPr>
                <w:sz w:val="13"/>
                <w:szCs w:val="13"/>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October 1, 2023</w:t>
            </w:r>
          </w:p>
        </w:tc>
        <w:tc>
          <w:tcPr>
            <w:tcW w:w="120" w:type="dxa"/>
            <w:vAlign w:val="bottom"/>
          </w:tcPr>
          <w:p>
            <w:pPr>
              <w:spacing w:after="0"/>
              <w:rPr>
                <w:sz w:val="13"/>
                <w:szCs w:val="13"/>
                <w:color w:val="auto"/>
              </w:rPr>
            </w:pPr>
          </w:p>
        </w:tc>
        <w:tc>
          <w:tcPr>
            <w:tcW w:w="146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Diluted Per Share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Amount</w:t>
            </w:r>
          </w:p>
        </w:tc>
        <w:tc>
          <w:tcPr>
            <w:tcW w:w="16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Earnings (Loss) Attributable to Hasbro</w:t>
            </w: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6"/>
        </w:trPr>
        <w:tc>
          <w:tcPr>
            <w:tcW w:w="464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Acquisition and Related Costs </w:t>
            </w:r>
            <w:r>
              <w:rPr>
                <w:rFonts w:ascii="Arial" w:cs="Arial" w:eastAsia="Arial" w:hAnsi="Arial"/>
                <w:sz w:val="21"/>
                <w:szCs w:val="21"/>
                <w:color w:val="auto"/>
                <w:vertAlign w:val="superscript"/>
              </w:rPr>
              <w:t>(2)</w:t>
            </w:r>
          </w:p>
        </w:tc>
        <w:tc>
          <w:tcPr>
            <w:tcW w:w="6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 xml:space="preserve">Acquired Intangible Amortization </w:t>
            </w:r>
            <w:r>
              <w:rPr>
                <w:rFonts w:ascii="Arial" w:cs="Arial" w:eastAsia="Arial" w:hAnsi="Arial"/>
                <w:sz w:val="21"/>
                <w:szCs w:val="21"/>
                <w:color w:val="auto"/>
                <w:vertAlign w:val="superscript"/>
              </w:rPr>
              <w:t>(3)</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16"/>
        </w:trPr>
        <w:tc>
          <w:tcPr>
            <w:tcW w:w="464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Strategic transformation initiatives </w:t>
            </w:r>
            <w:r>
              <w:rPr>
                <w:rFonts w:ascii="Arial" w:cs="Arial" w:eastAsia="Arial" w:hAnsi="Arial"/>
                <w:sz w:val="21"/>
                <w:szCs w:val="21"/>
                <w:color w:val="auto"/>
                <w:vertAlign w:val="superscript"/>
              </w:rPr>
              <w:t>(4)</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 xml:space="preserve">Restructuring and severance costs </w:t>
            </w:r>
            <w:r>
              <w:rPr>
                <w:rFonts w:ascii="Arial" w:cs="Arial" w:eastAsia="Arial" w:hAnsi="Arial"/>
                <w:sz w:val="21"/>
                <w:szCs w:val="21"/>
                <w:color w:val="auto"/>
                <w:vertAlign w:val="superscript"/>
              </w:rPr>
              <w:t>(5)</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Loss on disposal of business </w:t>
            </w:r>
            <w:r>
              <w:rPr>
                <w:rFonts w:ascii="Arial" w:cs="Arial" w:eastAsia="Arial" w:hAnsi="Arial"/>
                <w:sz w:val="21"/>
                <w:szCs w:val="21"/>
                <w:color w:val="auto"/>
                <w:vertAlign w:val="superscript"/>
              </w:rPr>
              <w:t>(6)</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 xml:space="preserve">eOne Film and TV business sale process charges </w:t>
            </w:r>
            <w:r>
              <w:rPr>
                <w:rFonts w:ascii="Arial" w:cs="Arial" w:eastAsia="Arial" w:hAnsi="Arial"/>
                <w:sz w:val="21"/>
                <w:szCs w:val="21"/>
                <w:color w:val="auto"/>
                <w:vertAlign w:val="superscript"/>
              </w:rPr>
              <w:t>(7)</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16"/>
        </w:trPr>
        <w:tc>
          <w:tcPr>
            <w:tcW w:w="464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Impairment of Goodwill and Intangible Assets </w:t>
            </w:r>
            <w:r>
              <w:rPr>
                <w:rFonts w:ascii="Arial" w:cs="Arial" w:eastAsia="Arial" w:hAnsi="Arial"/>
                <w:sz w:val="21"/>
                <w:szCs w:val="21"/>
                <w:color w:val="auto"/>
                <w:vertAlign w:val="superscript"/>
              </w:rPr>
              <w:t>(8)</w:t>
            </w:r>
          </w:p>
        </w:tc>
        <w:tc>
          <w:tcPr>
            <w:tcW w:w="6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35"/>
        </w:trPr>
        <w:tc>
          <w:tcPr>
            <w:tcW w:w="46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Earnings Attributable to Hasbro as Adjusted</w:t>
            </w: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9"/>
          <w:szCs w:val="9"/>
          <w:color w:val="auto"/>
        </w:rPr>
      </w:pPr>
      <w:r>
        <w:rPr>
          <w:rFonts w:ascii="Arial" w:cs="Arial" w:eastAsia="Arial" w:hAnsi="Arial"/>
          <w:sz w:val="14"/>
          <w:szCs w:val="14"/>
          <w:color w:val="auto"/>
        </w:rPr>
        <w:t>Amounts may not sum due to rounding</w:t>
      </w:r>
    </w:p>
    <w:p>
      <w:pPr>
        <w:spacing w:after="0" w:line="122" w:lineRule="exact"/>
        <w:rPr>
          <w:rFonts w:ascii="Arial" w:cs="Arial" w:eastAsia="Arial" w:hAnsi="Arial"/>
          <w:sz w:val="9"/>
          <w:szCs w:val="9"/>
          <w:color w:val="auto"/>
        </w:rPr>
      </w:pPr>
    </w:p>
    <w:p>
      <w:pPr>
        <w:ind w:firstLine="8"/>
        <w:spacing w:after="0" w:line="305" w:lineRule="auto"/>
        <w:tabs>
          <w:tab w:leader="none" w:pos="168" w:val="left"/>
        </w:tabs>
        <w:numPr>
          <w:ilvl w:val="0"/>
          <w:numId w:val="23"/>
        </w:numPr>
        <w:rPr>
          <w:rFonts w:ascii="Arial" w:cs="Arial" w:eastAsia="Arial" w:hAnsi="Arial"/>
          <w:sz w:val="9"/>
          <w:szCs w:val="9"/>
          <w:color w:val="auto"/>
        </w:rPr>
      </w:pPr>
      <w:r>
        <w:rPr>
          <w:rFonts w:ascii="Arial" w:cs="Arial" w:eastAsia="Arial" w:hAnsi="Arial"/>
          <w:sz w:val="14"/>
          <w:szCs w:val="14"/>
          <w:color w:val="auto"/>
        </w:rPr>
        <w:t>In association with the Company's acquisition of eOne, the Company incurred stock compensation expenses of $1.9 ($1.7 after-tax) in the nine months ended October 1, 2023. The expense is included within Selling, Distribution and Administration.</w:t>
      </w:r>
    </w:p>
    <w:p>
      <w:pPr>
        <w:spacing w:after="0" w:line="49" w:lineRule="exact"/>
        <w:rPr>
          <w:rFonts w:ascii="Arial" w:cs="Arial" w:eastAsia="Arial" w:hAnsi="Arial"/>
          <w:sz w:val="9"/>
          <w:szCs w:val="9"/>
          <w:color w:val="auto"/>
        </w:rPr>
      </w:pPr>
    </w:p>
    <w:p>
      <w:pPr>
        <w:jc w:val="both"/>
        <w:ind w:right="20" w:firstLine="8"/>
        <w:spacing w:after="0" w:line="414" w:lineRule="auto"/>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Represents intangible amortization costs related to the intangible assets acquired in the eOne acquisition. The Company has allocated certain of these intangible amortization costs between the Consumer Products and Entertainment segments, to match the revenue generated from such intangible assets. While amortization of acquired intangibles is being excluded from the related GAAP financial measure, the revenue of the acquired company is reflected within the Company's operating results to which these assets contribute.</w:t>
      </w:r>
    </w:p>
    <w:p>
      <w:pPr>
        <w:spacing w:after="0" w:line="3" w:lineRule="exact"/>
        <w:rPr>
          <w:rFonts w:ascii="Arial" w:cs="Arial" w:eastAsia="Arial" w:hAnsi="Arial"/>
          <w:sz w:val="16"/>
          <w:szCs w:val="16"/>
          <w:color w:val="auto"/>
          <w:vertAlign w:val="superscript"/>
        </w:rPr>
      </w:pPr>
    </w:p>
    <w:p>
      <w:pPr>
        <w:jc w:val="both"/>
        <w:ind w:firstLine="8"/>
        <w:spacing w:after="0" w:line="414" w:lineRule="auto"/>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Strategic transformation initiatives costs represent non-recurring expenses for strategic projects with anticipated long-term benefits to support the organization in identifying, realizing and capturing savings to create efficiencies and improve business processes and operations. These costs primarily consist of third party consulting of $6.0 ($4.6 after-tax) and $18.5 ($14.1 after-tax) for the three and nine months ended September 29, 2024, respectively, and $8.4 ($6.4 after-tax) and $29.4 ($22.5 after-tax) for the three and nine months ended October 1, 2023, respectively.</w:t>
      </w:r>
    </w:p>
    <w:p>
      <w:pPr>
        <w:spacing w:after="0" w:line="3" w:lineRule="exact"/>
        <w:rPr>
          <w:rFonts w:ascii="Arial" w:cs="Arial" w:eastAsia="Arial" w:hAnsi="Arial"/>
          <w:sz w:val="16"/>
          <w:szCs w:val="16"/>
          <w:color w:val="auto"/>
          <w:vertAlign w:val="superscript"/>
        </w:rPr>
      </w:pPr>
    </w:p>
    <w:p>
      <w:pPr>
        <w:ind w:firstLine="8"/>
        <w:spacing w:after="0" w:line="273" w:lineRule="auto"/>
        <w:tabs>
          <w:tab w:leader="none" w:pos="154" w:val="left"/>
        </w:tabs>
        <w:numPr>
          <w:ilvl w:val="0"/>
          <w:numId w:val="23"/>
        </w:numPr>
        <w:rPr>
          <w:rFonts w:ascii="Arial" w:cs="Arial" w:eastAsia="Arial" w:hAnsi="Arial"/>
          <w:sz w:val="17"/>
          <w:szCs w:val="17"/>
          <w:color w:val="auto"/>
          <w:vertAlign w:val="superscript"/>
        </w:rPr>
      </w:pPr>
      <w:r>
        <w:rPr>
          <w:rFonts w:ascii="Arial" w:cs="Arial" w:eastAsia="Arial" w:hAnsi="Arial"/>
          <w:sz w:val="13"/>
          <w:szCs w:val="13"/>
          <w:color w:val="auto"/>
        </w:rPr>
        <w:t>Restructuring and severance costs $0.4 ($0.3 after-tax) and $7.8 ($5.9 after-tax) for the three and nine months ended September 29, 2024, associated with cost-savings initiatives across the Company.</w:t>
      </w:r>
    </w:p>
    <w:p>
      <w:pPr>
        <w:spacing w:after="0" w:line="66" w:lineRule="exact"/>
        <w:rPr>
          <w:rFonts w:ascii="Arial" w:cs="Arial" w:eastAsia="Arial" w:hAnsi="Arial"/>
          <w:sz w:val="17"/>
          <w:szCs w:val="17"/>
          <w:color w:val="auto"/>
          <w:vertAlign w:val="superscript"/>
        </w:rPr>
      </w:pPr>
    </w:p>
    <w:p>
      <w:pPr>
        <w:jc w:val="both"/>
        <w:ind w:firstLine="8"/>
        <w:spacing w:after="0" w:line="239" w:lineRule="auto"/>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Loss on disposal of a business of $24.4 ($24.4 after-tax) for the nine months ended September 29, 2024 and $473.0 ($369.0 after-tax) for the three and nine months ended October 1, 2023, related to the sale of the eOne Film and TV business executed on December 27, 2023. The costs are included in Loss on Disposal of Business within the Entertainment segment.</w:t>
      </w:r>
    </w:p>
    <w:p>
      <w:pPr>
        <w:spacing w:after="0" w:line="94" w:lineRule="exact"/>
        <w:rPr>
          <w:rFonts w:ascii="Arial" w:cs="Arial" w:eastAsia="Arial" w:hAnsi="Arial"/>
          <w:sz w:val="18"/>
          <w:szCs w:val="18"/>
          <w:color w:val="auto"/>
          <w:vertAlign w:val="superscript"/>
        </w:rPr>
      </w:pPr>
    </w:p>
    <w:p>
      <w:pPr>
        <w:jc w:val="both"/>
        <w:ind w:firstLine="8"/>
        <w:spacing w:after="0"/>
        <w:tabs>
          <w:tab w:leader="none" w:pos="165"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eOne Film and TV business divestiture related costs of $7.9 ($6.1 after-tax) for three months and nine months ended September 29, 2024 and $16.2 ($12.5 after-tax) and $16.9 ($13.0 after-tax) for the three and nine months ended October 1, 2023, respectively, as a result of the sale of the eOne Film and TV business and certain retained liabilities.</w:t>
      </w:r>
    </w:p>
    <w:p>
      <w:pPr>
        <w:spacing w:after="0" w:line="255" w:lineRule="exact"/>
        <w:rPr>
          <w:rFonts w:ascii="Arial" w:cs="Arial" w:eastAsia="Arial" w:hAnsi="Arial"/>
          <w:sz w:val="19"/>
          <w:szCs w:val="19"/>
          <w:color w:val="auto"/>
          <w:vertAlign w:val="superscript"/>
        </w:rPr>
      </w:pPr>
    </w:p>
    <w:p>
      <w:pPr>
        <w:ind w:firstLine="8"/>
        <w:spacing w:after="0" w:line="292" w:lineRule="auto"/>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Impairment of goodwill and intangible assets represent non-cash charges of $296.2 ($279.9 after tax) for the three and nine months ended October 1, 2023 incurred within the Entertainment segment related to the eOne Film and TV business.</w:t>
      </w:r>
    </w:p>
    <w:sectPr>
      <w:pgSz w:w="11900" w:h="16838" w:orient="portrait"/>
      <w:cols w:equalWidth="0" w:num="1">
        <w:col w:w="11240"/>
      </w:cols>
      <w:pgMar w:left="320" w:top="8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lvl w:ilvl="1">
      <w:lvlJc w:val="left"/>
      <w:lvlText w:val="•"/>
      <w:numFmt w:val="bullet"/>
      <w:start w:val="1"/>
    </w:lvl>
  </w:abstractNum>
  <w:abstractNum w:abstractNumId="3">
    <w:nsid w:val="109CF92E"/>
    <w:multiLevelType w:val="hybridMultilevel"/>
    <w:lvl w:ilvl="0">
      <w:lvlJc w:val="left"/>
      <w:lvlText w:val="•"/>
      <w:numFmt w:val="bullet"/>
      <w:start w:val="1"/>
    </w:lvl>
    <w:lvl w:ilvl="1">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lvl w:ilvl="1">
      <w:lvlJc w:val="left"/>
      <w:lvlText w:val="•"/>
      <w:numFmt w:val="bullet"/>
      <w:start w:val="1"/>
    </w:lvl>
  </w:abstractNum>
  <w:abstractNum w:abstractNumId="6">
    <w:nsid w:val="1BEFD79F"/>
    <w:multiLevelType w:val="hybridMultilevel"/>
    <w:lvl w:ilvl="0">
      <w:lvlJc w:val="left"/>
      <w:lvlText w:val="•"/>
      <w:numFmt w:val="bullet"/>
      <w:start w:val="1"/>
    </w:lvl>
    <w:lvl w:ilvl="1">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2024-10-24T06:09:26Z</dcterms:created>
  <dcterms:modified xsi:type="dcterms:W3CDTF">2024-10-24T06:09:26Z</dcterms:modified>
</cp:coreProperties>
</file>