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1"/>
          <w:szCs w:val="31"/>
          <w:b w:val="1"/>
          <w:bCs w:val="1"/>
          <w:color w:val="auto"/>
        </w:rPr>
        <w:t>SCHEDULE 14A INFORMATION</w:t>
      </w:r>
    </w:p>
    <w:p>
      <w:pPr>
        <w:spacing w:after="0" w:line="291"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PROXY STATEMENT PURSUANT TO SECTION 14(a) OF THE SECURITIES</w:t>
      </w:r>
    </w:p>
    <w:p>
      <w:pPr>
        <w:spacing w:after="0" w:line="20" w:lineRule="exact"/>
        <w:rPr>
          <w:sz w:val="24"/>
          <w:szCs w:val="24"/>
          <w:color w:val="auto"/>
        </w:rPr>
      </w:pPr>
    </w:p>
    <w:p>
      <w:pPr>
        <w:ind w:left="3680"/>
        <w:spacing w:after="0"/>
        <w:tabs>
          <w:tab w:leader="none" w:pos="7680" w:val="left"/>
        </w:tabs>
        <w:rPr>
          <w:sz w:val="20"/>
          <w:szCs w:val="20"/>
          <w:color w:val="auto"/>
        </w:rPr>
      </w:pPr>
      <w:r>
        <w:rPr>
          <w:rFonts w:ascii="Arial" w:cs="Arial" w:eastAsia="Arial" w:hAnsi="Arial"/>
          <w:sz w:val="17"/>
          <w:szCs w:val="17"/>
          <w:color w:val="auto"/>
        </w:rPr>
        <w:t>EXCHANGE ACT OF 1934 (AMENDMENT NO.</w:t>
      </w:r>
      <w:r>
        <w:rPr>
          <w:sz w:val="20"/>
          <w:szCs w:val="20"/>
          <w:color w:val="auto"/>
        </w:rPr>
        <w:tab/>
      </w:r>
      <w:r>
        <w:rPr>
          <w:rFonts w:ascii="Arial" w:cs="Arial" w:eastAsia="Arial" w:hAnsi="Arial"/>
          <w:sz w:val="12"/>
          <w:szCs w:val="12"/>
          <w:color w:val="auto"/>
        </w:rPr>
        <w:t>)</w:t>
      </w:r>
    </w:p>
    <w:p>
      <w:pPr>
        <w:spacing w:after="0" w:line="211" w:lineRule="exact"/>
        <w:rPr>
          <w:sz w:val="24"/>
          <w:szCs w:val="24"/>
          <w:color w:val="auto"/>
        </w:rPr>
      </w:pPr>
    </w:p>
    <w:p>
      <w:pPr>
        <w:spacing w:after="0" w:line="196" w:lineRule="exact"/>
        <w:tabs>
          <w:tab w:leader="none" w:pos="188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7" w:lineRule="exact"/>
        <w:rPr>
          <w:sz w:val="24"/>
          <w:szCs w:val="24"/>
          <w:color w:val="auto"/>
        </w:rPr>
      </w:pPr>
    </w:p>
    <w:p>
      <w:pPr>
        <w:spacing w:after="0" w:line="196" w:lineRule="exact"/>
        <w:tabs>
          <w:tab w:leader="none" w:pos="328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89" w:lineRule="exact"/>
        <w:rPr>
          <w:sz w:val="24"/>
          <w:szCs w:val="24"/>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62" w:lineRule="exact"/>
        <w:rPr>
          <w:rFonts w:ascii="MS PGothic" w:cs="MS PGothic" w:eastAsia="MS PGothic" w:hAnsi="MS PGothic"/>
          <w:sz w:val="17"/>
          <w:szCs w:val="17"/>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262" w:lineRule="exact"/>
        <w:rPr>
          <w:rFonts w:ascii="MS PGothic" w:cs="MS PGothic" w:eastAsia="MS PGothic" w:hAnsi="MS PGothic"/>
          <w:sz w:val="17"/>
          <w:szCs w:val="17"/>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63" w:lineRule="exact"/>
        <w:rPr>
          <w:sz w:val="24"/>
          <w:szCs w:val="24"/>
          <w:color w:val="auto"/>
        </w:rPr>
      </w:pPr>
    </w:p>
    <w:p>
      <w:pPr>
        <w:ind w:left="480" w:hanging="475"/>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63" w:lineRule="exact"/>
        <w:rPr>
          <w:sz w:val="24"/>
          <w:szCs w:val="24"/>
          <w:color w:val="auto"/>
        </w:rPr>
      </w:pPr>
    </w:p>
    <w:p>
      <w:pPr>
        <w:ind w:left="480" w:hanging="475"/>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sec.240.14a-12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42"/>
          <w:szCs w:val="42"/>
          <w:b w:val="1"/>
          <w:bCs w:val="1"/>
          <w:color w:val="auto"/>
        </w:rPr>
        <w:t>HASBRO,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(Name of Registrant as Specified In Its Charter)</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89"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89"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23"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23" w:lineRule="exact"/>
        <w:rPr>
          <w:rFonts w:ascii="Arial" w:cs="Arial" w:eastAsia="Arial" w:hAnsi="Arial"/>
          <w:sz w:val="17"/>
          <w:szCs w:val="17"/>
          <w:color w:val="auto"/>
        </w:rPr>
      </w:pPr>
    </w:p>
    <w:p>
      <w:pPr>
        <w:ind w:left="920" w:right="180" w:hanging="444"/>
        <w:spacing w:after="0" w:line="282"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23"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89" w:lineRule="exact"/>
        <w:rPr>
          <w:rFonts w:ascii="Arial" w:cs="Arial" w:eastAsia="Arial" w:hAnsi="Arial"/>
          <w:sz w:val="17"/>
          <w:szCs w:val="17"/>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89" w:lineRule="exact"/>
        <w:rPr>
          <w:rFonts w:ascii="MS PGothic" w:cs="MS PGothic" w:eastAsia="MS PGothic" w:hAnsi="MS PGothic"/>
          <w:sz w:val="17"/>
          <w:szCs w:val="17"/>
          <w:color w:val="auto"/>
        </w:rPr>
      </w:pPr>
    </w:p>
    <w:p>
      <w:pPr>
        <w:ind w:left="480" w:hanging="475"/>
        <w:spacing w:after="0" w:line="282"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23"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23"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23"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ectPr>
          <w:pgSz w:w="11900" w:h="16838" w:orient="portrait"/>
          <w:cols w:equalWidth="0" w:num="1">
            <w:col w:w="11220"/>
          </w:cols>
          <w:pgMar w:left="240" w:top="203"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8"/>
          <w:szCs w:val="8"/>
          <w:color w:val="FFFFFF"/>
        </w:rPr>
        <w:t>MayShareholder2015 Engagement</w:t>
      </w:r>
    </w:p>
    <w:p>
      <w:pPr>
        <w:sectPr>
          <w:pgSz w:w="11900" w:h="16838" w:orient="portrait"/>
          <w:cols w:equalWidth="0" w:num="1">
            <w:col w:w="10219"/>
          </w:cols>
          <w:pgMar w:left="2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Hasbro</w:t>
      </w:r>
      <w:r>
        <w:rPr>
          <w:rFonts w:ascii="Arial" w:cs="Arial" w:eastAsia="Arial" w:hAnsi="Arial"/>
          <w:sz w:val="13"/>
          <w:szCs w:val="13"/>
          <w:color w:val="FFFFFF"/>
        </w:rPr>
        <w:t>Buiness Overview</w:t>
      </w:r>
    </w:p>
    <w:p>
      <w:pPr>
        <w:ind w:right="340" w:firstLine="411"/>
        <w:spacing w:after="0" w:line="182" w:lineRule="auto"/>
        <w:rPr>
          <w:sz w:val="20"/>
          <w:szCs w:val="20"/>
          <w:color w:val="auto"/>
        </w:rPr>
      </w:pPr>
      <w:r>
        <w:rPr>
          <w:rFonts w:ascii="Arial" w:cs="Arial" w:eastAsia="Arial" w:hAnsi="Arial"/>
          <w:sz w:val="7"/>
          <w:szCs w:val="7"/>
          <w:color w:val="FFFFFF"/>
        </w:rPr>
        <w:t>is a global company committed to Creating the World’s Best Play Experiences, by leveraging its beloved brands, including LITTLEST PET SHOP, MAGIC: THE GATHERING, MONOPOLY, MY LITTLE PONY, NERF, PLAY-DOH and TRANSFORMERS</w:t>
      </w:r>
      <w:r>
        <w:rPr>
          <w:rFonts w:ascii="Arial" w:cs="Arial" w:eastAsia="Arial" w:hAnsi="Arial"/>
          <w:sz w:val="9"/>
          <w:szCs w:val="9"/>
          <w:color w:val="FFFFFF"/>
          <w:vertAlign w:val="superscript"/>
        </w:rPr>
        <w:t>gaming</w:t>
      </w:r>
      <w:r>
        <w:rPr>
          <w:rFonts w:ascii="Arial" w:cs="Arial" w:eastAsia="Arial" w:hAnsi="Arial"/>
          <w:sz w:val="7"/>
          <w:szCs w:val="7"/>
          <w:color w:val="FFFFFF"/>
        </w:rPr>
        <w:t>addition to premier partner brands</w:t>
      </w:r>
    </w:p>
    <w:p>
      <w:pPr>
        <w:ind w:right="1860"/>
        <w:spacing w:after="0" w:line="182" w:lineRule="auto"/>
        <w:rPr>
          <w:sz w:val="20"/>
          <w:szCs w:val="20"/>
          <w:color w:val="auto"/>
        </w:rPr>
      </w:pPr>
      <w:r>
        <w:rPr>
          <w:rFonts w:ascii="Arial" w:cs="Arial" w:eastAsia="Arial" w:hAnsi="Arial"/>
          <w:sz w:val="7"/>
          <w:szCs w:val="7"/>
          <w:color w:val="FFFFFF"/>
        </w:rPr>
        <w:t xml:space="preserve">Hasbro builds brands across feature films, television, digital and lifestyle licensing (e.g., with apparel, food and bedding companies) as well as toy and game innovation </w:t>
      </w:r>
      <w:r>
        <w:rPr>
          <w:rFonts w:ascii="Arial" w:cs="Arial" w:eastAsia="Arial" w:hAnsi="Arial"/>
          <w:sz w:val="9"/>
          <w:szCs w:val="9"/>
          <w:color w:val="FFFFFF"/>
          <w:vertAlign w:val="superscript"/>
        </w:rPr>
        <w:t>-</w:t>
      </w:r>
      <w:r>
        <w:rPr>
          <w:rFonts w:ascii="Arial" w:cs="Arial" w:eastAsia="Arial" w:hAnsi="Arial"/>
          <w:sz w:val="7"/>
          <w:szCs w:val="7"/>
          <w:color w:val="FFFFFF"/>
        </w:rPr>
        <w:t xml:space="preserve"> Brand Blueprint: The cornerstone of our strategy</w:t>
      </w:r>
    </w:p>
    <w:p>
      <w:pPr>
        <w:ind w:left="80"/>
        <w:spacing w:after="0" w:line="182" w:lineRule="auto"/>
        <w:rPr>
          <w:sz w:val="20"/>
          <w:szCs w:val="20"/>
          <w:color w:val="auto"/>
        </w:rPr>
      </w:pPr>
      <w:r>
        <w:rPr>
          <w:rFonts w:ascii="Arial" w:cs="Arial" w:eastAsia="Arial" w:hAnsi="Arial"/>
          <w:sz w:val="9"/>
          <w:szCs w:val="9"/>
          <w:color w:val="FFFFFF"/>
        </w:rPr>
        <w:t>Rather than only producing toys and games, Hasbro now focuses on developing its brands, with emphasis on seven key Franchise Brands that deliver significant revenue and operating profit potential</w:t>
      </w:r>
    </w:p>
    <w:p>
      <w:pPr>
        <w:spacing w:after="0" w:line="205" w:lineRule="auto"/>
        <w:rPr>
          <w:sz w:val="20"/>
          <w:szCs w:val="20"/>
          <w:color w:val="auto"/>
        </w:rPr>
      </w:pPr>
      <w:r>
        <w:rPr>
          <w:rFonts w:ascii="Arial" w:cs="Arial" w:eastAsia="Arial" w:hAnsi="Arial"/>
          <w:sz w:val="4"/>
          <w:szCs w:val="4"/>
          <w:color w:val="FFFFFF"/>
        </w:rPr>
        <w:t>2016)Ongoing cultivation of strategic partnerships with industry leaders; e.g., The Walt Disney Company, including for MARVEL and STAR WARS as well as DISNEY PRINCESS and FROZEN brands (beginning in</w:t>
      </w:r>
    </w:p>
    <w:p>
      <w:pPr>
        <w:ind w:right="4680"/>
        <w:spacing w:after="0"/>
        <w:rPr>
          <w:sz w:val="20"/>
          <w:szCs w:val="20"/>
          <w:color w:val="auto"/>
        </w:rPr>
      </w:pPr>
      <w:r>
        <w:rPr>
          <w:rFonts w:ascii="Arial" w:cs="Arial" w:eastAsia="Arial" w:hAnsi="Arial"/>
          <w:sz w:val="11"/>
          <w:szCs w:val="11"/>
          <w:color w:val="FFFFFF"/>
        </w:rPr>
        <w:t>Commitment to corporate social responsibility, including product safety, environmental responsibility and ethical sourcing 2</w:t>
      </w:r>
    </w:p>
    <w:p>
      <w:pPr>
        <w:sectPr>
          <w:pgSz w:w="11900" w:h="16838" w:orient="portrait"/>
          <w:cols w:equalWidth="0" w:num="1">
            <w:col w:w="11100"/>
          </w:cols>
          <w:pgMar w:left="240" w:top="1440"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gridSpan w:val="3"/>
          </w:tcPr>
          <w:p>
            <w:pPr>
              <w:spacing w:after="0"/>
              <w:rPr>
                <w:sz w:val="20"/>
                <w:szCs w:val="20"/>
                <w:color w:val="auto"/>
              </w:rPr>
            </w:pPr>
            <w:r>
              <w:rPr>
                <w:rFonts w:ascii="Arial" w:cs="Arial" w:eastAsia="Arial" w:hAnsi="Arial"/>
                <w:sz w:val="13"/>
                <w:szCs w:val="13"/>
                <w:color w:val="FFFFFF"/>
              </w:rPr>
              <w:t>Comprehensive Business Strategy to Drive Growth…</w:t>
            </w:r>
          </w:p>
        </w:tc>
        <w:tc>
          <w:tcPr>
            <w:tcW w:w="0" w:type="dxa"/>
            <w:vAlign w:val="bottom"/>
          </w:tcPr>
          <w:p>
            <w:pPr>
              <w:spacing w:after="0"/>
              <w:rPr>
                <w:sz w:val="1"/>
                <w:szCs w:val="1"/>
                <w:color w:val="auto"/>
              </w:rPr>
            </w:pPr>
          </w:p>
        </w:tc>
      </w:tr>
      <w:tr>
        <w:trPr>
          <w:trHeight w:val="39"/>
        </w:trPr>
        <w:tc>
          <w:tcPr>
            <w:tcW w:w="1440" w:type="dxa"/>
            <w:vAlign w:val="bottom"/>
          </w:tcPr>
          <w:p>
            <w:pPr>
              <w:spacing w:after="0" w:line="40" w:lineRule="exact"/>
              <w:rPr>
                <w:sz w:val="20"/>
                <w:szCs w:val="20"/>
                <w:color w:val="auto"/>
              </w:rPr>
            </w:pPr>
            <w:r>
              <w:rPr>
                <w:rFonts w:ascii="Arial" w:cs="Arial" w:eastAsia="Arial" w:hAnsi="Arial"/>
                <w:sz w:val="4"/>
                <w:szCs w:val="4"/>
                <w:color w:val="FFFFFF"/>
              </w:rPr>
              <w:t>Strategy Results</w:t>
            </w:r>
          </w:p>
        </w:tc>
        <w:tc>
          <w:tcPr>
            <w:tcW w:w="900" w:type="dxa"/>
            <w:vAlign w:val="bottom"/>
          </w:tcPr>
          <w:p>
            <w:pPr>
              <w:spacing w:after="0"/>
              <w:rPr>
                <w:sz w:val="3"/>
                <w:szCs w:val="3"/>
                <w:color w:val="auto"/>
              </w:rPr>
            </w:pPr>
          </w:p>
        </w:tc>
        <w:tc>
          <w:tcPr>
            <w:tcW w:w="3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 Global organization, including global development</w:t>
            </w: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and marketing operations • Hasbro 2014 revenues increased 5%</w:t>
            </w: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…Across • Robust expansion in emerging markets; key areas of • Revenue growth across all Hasbro</w:t>
            </w: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focus include Russia, Brazil and China international regions in 2014</w:t>
            </w:r>
          </w:p>
        </w:tc>
        <w:tc>
          <w:tcPr>
            <w:tcW w:w="0" w:type="dxa"/>
            <w:vAlign w:val="bottom"/>
          </w:tcPr>
          <w:p>
            <w:pPr>
              <w:spacing w:after="0" w:line="20" w:lineRule="exact"/>
              <w:rPr>
                <w:sz w:val="1"/>
                <w:szCs w:val="1"/>
                <w:color w:val="auto"/>
              </w:rPr>
            </w:pPr>
          </w:p>
        </w:tc>
      </w:tr>
      <w:tr>
        <w:trPr>
          <w:trHeight w:val="39"/>
        </w:trPr>
        <w:tc>
          <w:tcPr>
            <w:tcW w:w="1440" w:type="dxa"/>
            <w:vAlign w:val="bottom"/>
          </w:tcPr>
          <w:p>
            <w:pPr>
              <w:spacing w:after="0" w:line="40" w:lineRule="exact"/>
              <w:rPr>
                <w:sz w:val="20"/>
                <w:szCs w:val="20"/>
                <w:color w:val="auto"/>
              </w:rPr>
            </w:pPr>
            <w:r>
              <w:rPr>
                <w:rFonts w:ascii="Arial" w:cs="Arial" w:eastAsia="Arial" w:hAnsi="Arial"/>
                <w:sz w:val="4"/>
                <w:szCs w:val="4"/>
                <w:color w:val="FFFFFF"/>
              </w:rPr>
              <w:t>Geographies</w:t>
            </w:r>
          </w:p>
        </w:tc>
        <w:tc>
          <w:tcPr>
            <w:tcW w:w="4220" w:type="dxa"/>
            <w:vAlign w:val="bottom"/>
            <w:gridSpan w:val="2"/>
            <w:vMerge w:val="restart"/>
          </w:tcPr>
          <w:p>
            <w:pPr>
              <w:ind w:left="100"/>
              <w:spacing w:after="0" w:line="79" w:lineRule="exact"/>
              <w:rPr>
                <w:sz w:val="20"/>
                <w:szCs w:val="20"/>
                <w:color w:val="auto"/>
              </w:rPr>
            </w:pPr>
            <w:r>
              <w:rPr>
                <w:rFonts w:ascii="Arial" w:cs="Arial" w:eastAsia="Arial" w:hAnsi="Arial"/>
                <w:sz w:val="9"/>
                <w:szCs w:val="9"/>
                <w:color w:val="FFFFFF"/>
              </w:rPr>
              <w:t>developed economies with • Emerging market revenue up 20% in</w:t>
            </w:r>
          </w:p>
        </w:tc>
        <w:tc>
          <w:tcPr>
            <w:tcW w:w="0" w:type="dxa"/>
            <w:vAlign w:val="bottom"/>
          </w:tcPr>
          <w:p>
            <w:pPr>
              <w:spacing w:after="0" w:line="20" w:lineRule="exact"/>
              <w:rPr>
                <w:sz w:val="1"/>
                <w:szCs w:val="1"/>
                <w:color w:val="auto"/>
              </w:rPr>
            </w:pPr>
          </w:p>
        </w:tc>
      </w:tr>
      <w:tr>
        <w:trPr>
          <w:trHeight w:val="39"/>
        </w:trPr>
        <w:tc>
          <w:tcPr>
            <w:tcW w:w="1440" w:type="dxa"/>
            <w:vAlign w:val="bottom"/>
          </w:tcPr>
          <w:p>
            <w:pPr>
              <w:spacing w:after="0" w:line="40" w:lineRule="exact"/>
              <w:rPr>
                <w:sz w:val="20"/>
                <w:szCs w:val="20"/>
                <w:color w:val="auto"/>
              </w:rPr>
            </w:pPr>
            <w:r>
              <w:rPr>
                <w:rFonts w:ascii="Arial" w:cs="Arial" w:eastAsia="Arial" w:hAnsi="Arial"/>
                <w:sz w:val="4"/>
                <w:szCs w:val="4"/>
                <w:color w:val="FFFFFF"/>
              </w:rPr>
              <w:t>• Poised for future growth</w:t>
            </w:r>
          </w:p>
        </w:tc>
        <w:tc>
          <w:tcPr>
            <w:tcW w:w="42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strong focus on brand, entertainment and 2014 and operating profit up 36%</w:t>
            </w:r>
          </w:p>
        </w:tc>
        <w:tc>
          <w:tcPr>
            <w:tcW w:w="0" w:type="dxa"/>
            <w:vAlign w:val="bottom"/>
          </w:tcPr>
          <w:p>
            <w:pPr>
              <w:spacing w:after="0" w:line="20" w:lineRule="exact"/>
              <w:rPr>
                <w:sz w:val="1"/>
                <w:szCs w:val="1"/>
                <w:color w:val="auto"/>
              </w:rPr>
            </w:pPr>
          </w:p>
        </w:tc>
      </w:tr>
      <w:tr>
        <w:trPr>
          <w:trHeight w:val="39"/>
        </w:trPr>
        <w:tc>
          <w:tcPr>
            <w:tcW w:w="1440" w:type="dxa"/>
            <w:vAlign w:val="bottom"/>
          </w:tcPr>
          <w:p>
            <w:pPr>
              <w:spacing w:after="0" w:line="40" w:lineRule="exact"/>
              <w:rPr>
                <w:sz w:val="20"/>
                <w:szCs w:val="20"/>
                <w:color w:val="auto"/>
              </w:rPr>
            </w:pPr>
            <w:r>
              <w:rPr>
                <w:rFonts w:ascii="Arial" w:cs="Arial" w:eastAsia="Arial" w:hAnsi="Arial"/>
                <w:sz w:val="4"/>
                <w:szCs w:val="4"/>
                <w:color w:val="FFFFFF"/>
              </w:rPr>
              <w:t>innovation</w:t>
            </w:r>
          </w:p>
        </w:tc>
        <w:tc>
          <w:tcPr>
            <w:tcW w:w="900" w:type="dxa"/>
            <w:vAlign w:val="bottom"/>
          </w:tcPr>
          <w:p>
            <w:pPr>
              <w:spacing w:after="0"/>
              <w:rPr>
                <w:sz w:val="3"/>
                <w:szCs w:val="3"/>
                <w:color w:val="auto"/>
              </w:rPr>
            </w:pPr>
          </w:p>
        </w:tc>
        <w:tc>
          <w:tcPr>
            <w:tcW w:w="3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 Emphasis on building and enhancing global content • Entertainment and Licensing segment</w:t>
            </w:r>
          </w:p>
        </w:tc>
        <w:tc>
          <w:tcPr>
            <w:tcW w:w="0" w:type="dxa"/>
            <w:vAlign w:val="bottom"/>
          </w:tcPr>
          <w:p>
            <w:pPr>
              <w:spacing w:after="0" w:line="20" w:lineRule="exact"/>
              <w:rPr>
                <w:sz w:val="1"/>
                <w:szCs w:val="1"/>
                <w:color w:val="auto"/>
              </w:rPr>
            </w:pPr>
          </w:p>
        </w:tc>
      </w:tr>
      <w:tr>
        <w:trPr>
          <w:trHeight w:val="39"/>
        </w:trPr>
        <w:tc>
          <w:tcPr>
            <w:tcW w:w="1440" w:type="dxa"/>
            <w:vAlign w:val="bottom"/>
          </w:tcPr>
          <w:p>
            <w:pPr>
              <w:spacing w:after="0" w:line="40" w:lineRule="exact"/>
              <w:rPr>
                <w:sz w:val="20"/>
                <w:szCs w:val="20"/>
                <w:color w:val="auto"/>
              </w:rPr>
            </w:pPr>
            <w:r>
              <w:rPr>
                <w:rFonts w:ascii="Arial" w:cs="Arial" w:eastAsia="Arial" w:hAnsi="Arial"/>
                <w:sz w:val="4"/>
                <w:szCs w:val="4"/>
                <w:color w:val="FFFFFF"/>
              </w:rPr>
              <w:t>creation revenues up 15%</w:t>
            </w:r>
          </w:p>
        </w:tc>
        <w:tc>
          <w:tcPr>
            <w:tcW w:w="900" w:type="dxa"/>
            <w:vAlign w:val="bottom"/>
          </w:tcPr>
          <w:p>
            <w:pPr>
              <w:ind w:left="80"/>
              <w:spacing w:after="0" w:line="40" w:lineRule="exact"/>
              <w:rPr>
                <w:sz w:val="20"/>
                <w:szCs w:val="20"/>
                <w:color w:val="auto"/>
              </w:rPr>
            </w:pPr>
            <w:r>
              <w:rPr>
                <w:rFonts w:ascii="Arial" w:cs="Arial" w:eastAsia="Arial" w:hAnsi="Arial"/>
                <w:sz w:val="4"/>
                <w:szCs w:val="4"/>
                <w:color w:val="FFFFFF"/>
              </w:rPr>
              <w:t>2014</w:t>
            </w:r>
          </w:p>
        </w:tc>
        <w:tc>
          <w:tcPr>
            <w:tcW w:w="3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…In • Significant investment in content, including television</w:t>
            </w: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Consumer programming • Television programming airs in 180</w:t>
            </w:r>
          </w:p>
        </w:tc>
        <w:tc>
          <w:tcPr>
            <w:tcW w:w="0" w:type="dxa"/>
            <w:vAlign w:val="bottom"/>
          </w:tcPr>
          <w:p>
            <w:pPr>
              <w:spacing w:after="0" w:line="20" w:lineRule="exact"/>
              <w:rPr>
                <w:sz w:val="1"/>
                <w:szCs w:val="1"/>
                <w:color w:val="auto"/>
              </w:rPr>
            </w:pPr>
          </w:p>
        </w:tc>
      </w:tr>
      <w:tr>
        <w:trPr>
          <w:trHeight w:val="39"/>
        </w:trPr>
        <w:tc>
          <w:tcPr>
            <w:tcW w:w="1440" w:type="dxa"/>
            <w:vAlign w:val="bottom"/>
          </w:tcPr>
          <w:p>
            <w:pPr>
              <w:spacing w:after="0" w:line="40" w:lineRule="exact"/>
              <w:rPr>
                <w:sz w:val="20"/>
                <w:szCs w:val="20"/>
                <w:color w:val="auto"/>
              </w:rPr>
            </w:pPr>
            <w:r>
              <w:rPr>
                <w:rFonts w:ascii="Arial" w:cs="Arial" w:eastAsia="Arial" w:hAnsi="Arial"/>
                <w:sz w:val="4"/>
                <w:szCs w:val="4"/>
                <w:color w:val="FFFFFF"/>
              </w:rPr>
              <w:t>territories globally</w:t>
            </w:r>
          </w:p>
        </w:tc>
        <w:tc>
          <w:tcPr>
            <w:tcW w:w="900" w:type="dxa"/>
            <w:vAlign w:val="bottom"/>
          </w:tcPr>
          <w:p>
            <w:pPr>
              <w:spacing w:after="0"/>
              <w:rPr>
                <w:sz w:val="3"/>
                <w:szCs w:val="3"/>
                <w:color w:val="auto"/>
              </w:rPr>
            </w:pPr>
          </w:p>
        </w:tc>
        <w:tc>
          <w:tcPr>
            <w:tcW w:w="3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Engagement • Investment in and expansion of digital engagement:</w:t>
            </w: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digital gaming, mobile apps, branded websites and • Robust feature film slate based on</w:t>
            </w:r>
          </w:p>
        </w:tc>
        <w:tc>
          <w:tcPr>
            <w:tcW w:w="0" w:type="dxa"/>
            <w:vAlign w:val="bottom"/>
          </w:tcPr>
          <w:p>
            <w:pPr>
              <w:spacing w:after="0" w:line="20" w:lineRule="exact"/>
              <w:rPr>
                <w:sz w:val="1"/>
                <w:szCs w:val="1"/>
                <w:color w:val="auto"/>
              </w:rPr>
            </w:pPr>
          </w:p>
        </w:tc>
      </w:tr>
      <w:tr>
        <w:trPr>
          <w:trHeight w:val="39"/>
        </w:trPr>
        <w:tc>
          <w:tcPr>
            <w:tcW w:w="2340" w:type="dxa"/>
            <w:vAlign w:val="bottom"/>
            <w:gridSpan w:val="2"/>
          </w:tcPr>
          <w:p>
            <w:pPr>
              <w:spacing w:after="0" w:line="40" w:lineRule="exact"/>
              <w:rPr>
                <w:sz w:val="20"/>
                <w:szCs w:val="20"/>
                <w:color w:val="auto"/>
              </w:rPr>
            </w:pPr>
            <w:r>
              <w:rPr>
                <w:rFonts w:ascii="Arial" w:cs="Arial" w:eastAsia="Arial" w:hAnsi="Arial"/>
                <w:sz w:val="4"/>
                <w:szCs w:val="4"/>
                <w:color w:val="FFFFFF"/>
              </w:rPr>
              <w:t>social media Hasbro and partner brands</w:t>
            </w:r>
          </w:p>
        </w:tc>
        <w:tc>
          <w:tcPr>
            <w:tcW w:w="3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 Re-imagination of Franchise Brands and imagination</w:t>
            </w: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of new brands • Franchise Brand revenues grew 31%</w:t>
            </w: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…Across • New strategic merchandising relationship with Disney revenues in 2014 and represented 55% of</w:t>
            </w:r>
          </w:p>
        </w:tc>
        <w:tc>
          <w:tcPr>
            <w:tcW w:w="0" w:type="dxa"/>
            <w:vAlign w:val="bottom"/>
          </w:tcPr>
          <w:p>
            <w:pPr>
              <w:spacing w:after="0" w:line="20" w:lineRule="exact"/>
              <w:rPr>
                <w:sz w:val="1"/>
                <w:szCs w:val="1"/>
                <w:color w:val="auto"/>
              </w:rPr>
            </w:pPr>
          </w:p>
        </w:tc>
      </w:tr>
      <w:tr>
        <w:trPr>
          <w:trHeight w:val="39"/>
        </w:trPr>
        <w:tc>
          <w:tcPr>
            <w:tcW w:w="5660" w:type="dxa"/>
            <w:vAlign w:val="bottom"/>
            <w:gridSpan w:val="3"/>
          </w:tcPr>
          <w:p>
            <w:pPr>
              <w:spacing w:after="0" w:line="40" w:lineRule="exact"/>
              <w:rPr>
                <w:sz w:val="20"/>
                <w:szCs w:val="20"/>
                <w:color w:val="auto"/>
              </w:rPr>
            </w:pPr>
            <w:r>
              <w:rPr>
                <w:rFonts w:ascii="Arial" w:cs="Arial" w:eastAsia="Arial" w:hAnsi="Arial"/>
                <w:sz w:val="4"/>
                <w:szCs w:val="4"/>
                <w:color w:val="FFFFFF"/>
              </w:rPr>
              <w:t>for DISNEY PRINCESS and FROZEN properties</w:t>
            </w:r>
          </w:p>
        </w:tc>
        <w:tc>
          <w:tcPr>
            <w:tcW w:w="0" w:type="dxa"/>
            <w:vAlign w:val="bottom"/>
          </w:tcPr>
          <w:p>
            <w:pPr>
              <w:spacing w:after="0" w:line="20" w:lineRule="exact"/>
              <w:rPr>
                <w:sz w:val="1"/>
                <w:szCs w:val="1"/>
                <w:color w:val="auto"/>
              </w:rPr>
            </w:pPr>
          </w:p>
        </w:tc>
      </w:tr>
      <w:tr>
        <w:trPr>
          <w:trHeight w:val="0"/>
        </w:trPr>
        <w:tc>
          <w:tcPr>
            <w:tcW w:w="2340" w:type="dxa"/>
            <w:vAlign w:val="bottom"/>
            <w:gridSpan w:val="2"/>
          </w:tcPr>
          <w:p>
            <w:pPr>
              <w:spacing w:after="0" w:line="78" w:lineRule="exact"/>
              <w:rPr>
                <w:sz w:val="20"/>
                <w:szCs w:val="20"/>
                <w:color w:val="auto"/>
              </w:rPr>
            </w:pPr>
            <w:r>
              <w:rPr>
                <w:rFonts w:ascii="Arial" w:cs="Arial" w:eastAsia="Arial" w:hAnsi="Arial"/>
                <w:sz w:val="8"/>
                <w:szCs w:val="8"/>
                <w:color w:val="FFFFFF"/>
              </w:rPr>
              <w:t>Brands(beginning in 2016) • Second</w:t>
            </w:r>
          </w:p>
        </w:tc>
        <w:tc>
          <w:tcPr>
            <w:tcW w:w="3320" w:type="dxa"/>
            <w:vAlign w:val="bottom"/>
          </w:tcPr>
          <w:p>
            <w:pPr>
              <w:ind w:left="260"/>
              <w:spacing w:after="0" w:line="78" w:lineRule="exact"/>
              <w:rPr>
                <w:sz w:val="20"/>
                <w:szCs w:val="20"/>
                <w:color w:val="auto"/>
              </w:rPr>
            </w:pPr>
            <w:r>
              <w:rPr>
                <w:rFonts w:ascii="Arial" w:cs="Arial" w:eastAsia="Arial" w:hAnsi="Arial"/>
                <w:sz w:val="8"/>
                <w:szCs w:val="8"/>
                <w:color w:val="FFFFFF"/>
              </w:rPr>
              <w:t>billion dollar year</w:t>
            </w:r>
          </w:p>
        </w:tc>
        <w:tc>
          <w:tcPr>
            <w:tcW w:w="0" w:type="dxa"/>
            <w:vAlign w:val="bottom"/>
          </w:tcPr>
          <w:p>
            <w:pPr>
              <w:spacing w:after="0" w:line="20" w:lineRule="exact"/>
              <w:rPr>
                <w:sz w:val="1"/>
                <w:szCs w:val="1"/>
                <w:color w:val="auto"/>
              </w:rPr>
            </w:pPr>
          </w:p>
        </w:tc>
      </w:tr>
    </w:tbl>
    <w:p>
      <w:pPr>
        <w:ind w:left="1940"/>
        <w:spacing w:after="0" w:line="24" w:lineRule="auto"/>
        <w:rPr>
          <w:sz w:val="20"/>
          <w:szCs w:val="20"/>
          <w:color w:val="auto"/>
        </w:rPr>
      </w:pPr>
      <w:r>
        <w:rPr>
          <w:rFonts w:ascii="Arial" w:cs="Arial" w:eastAsia="Arial" w:hAnsi="Arial"/>
          <w:sz w:val="1"/>
          <w:szCs w:val="1"/>
          <w:color w:val="FFFFFF"/>
        </w:rPr>
        <w:t>consecutive</w:t>
      </w:r>
    </w:p>
    <w:p>
      <w:pPr>
        <w:spacing w:after="0" w:line="219" w:lineRule="auto"/>
        <w:tabs>
          <w:tab w:leader="none" w:pos="2260" w:val="left"/>
        </w:tabs>
        <w:rPr>
          <w:sz w:val="20"/>
          <w:szCs w:val="20"/>
          <w:color w:val="auto"/>
        </w:rPr>
      </w:pPr>
      <w:r>
        <w:rPr>
          <w:rFonts w:ascii="Arial" w:cs="Arial" w:eastAsia="Arial" w:hAnsi="Arial"/>
          <w:sz w:val="12"/>
          <w:szCs w:val="12"/>
          <w:color w:val="FFFFFF"/>
        </w:rPr>
        <w:t>consumer•Gaming CenterdemographicsofExcellenceandbrandsfocused</w:t>
      </w:r>
      <w:r>
        <w:rPr>
          <w:sz w:val="20"/>
          <w:szCs w:val="20"/>
          <w:color w:val="auto"/>
        </w:rPr>
        <w:tab/>
      </w:r>
      <w:r>
        <w:rPr>
          <w:rFonts w:ascii="Arial" w:cs="Arial" w:eastAsia="Arial" w:hAnsi="Arial"/>
          <w:sz w:val="11"/>
          <w:szCs w:val="11"/>
          <w:color w:val="FFFFFF"/>
        </w:rPr>
        <w:t>key for revenues in Girls category</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gridSpan w:val="3"/>
          </w:tcPr>
          <w:p>
            <w:pPr>
              <w:spacing w:after="0"/>
              <w:rPr>
                <w:sz w:val="20"/>
                <w:szCs w:val="20"/>
                <w:color w:val="auto"/>
              </w:rPr>
            </w:pPr>
            <w:r>
              <w:rPr>
                <w:rFonts w:ascii="Arial" w:cs="Arial" w:eastAsia="Arial" w:hAnsi="Arial"/>
                <w:sz w:val="13"/>
                <w:szCs w:val="13"/>
                <w:color w:val="FFFFFF"/>
                <w:w w:val="94"/>
              </w:rPr>
              <w:t>Strong Performance and</w:t>
            </w:r>
          </w:p>
        </w:tc>
        <w:tc>
          <w:tcPr>
            <w:tcW w:w="4960" w:type="dxa"/>
            <w:vAlign w:val="bottom"/>
          </w:tcPr>
          <w:p>
            <w:pPr>
              <w:jc w:val="right"/>
              <w:ind w:right="3536"/>
              <w:spacing w:after="0"/>
              <w:rPr>
                <w:sz w:val="20"/>
                <w:szCs w:val="20"/>
                <w:color w:val="auto"/>
              </w:rPr>
            </w:pPr>
            <w:r>
              <w:rPr>
                <w:rFonts w:ascii="Arial" w:cs="Arial" w:eastAsia="Arial" w:hAnsi="Arial"/>
                <w:sz w:val="13"/>
                <w:szCs w:val="13"/>
                <w:color w:val="FFFFFF"/>
                <w:w w:val="96"/>
              </w:rPr>
              <w:t>History of Capital Return</w:t>
            </w:r>
          </w:p>
        </w:tc>
      </w:tr>
      <w:tr>
        <w:trPr>
          <w:trHeight w:val="39"/>
        </w:trPr>
        <w:tc>
          <w:tcPr>
            <w:tcW w:w="6320" w:type="dxa"/>
            <w:vAlign w:val="bottom"/>
            <w:gridSpan w:val="4"/>
          </w:tcPr>
          <w:p>
            <w:pPr>
              <w:spacing w:after="0" w:line="40" w:lineRule="exact"/>
              <w:rPr>
                <w:sz w:val="20"/>
                <w:szCs w:val="20"/>
                <w:color w:val="auto"/>
              </w:rPr>
            </w:pPr>
            <w:r>
              <w:rPr>
                <w:rFonts w:ascii="Arial" w:cs="Arial" w:eastAsia="Arial" w:hAnsi="Arial"/>
                <w:sz w:val="4"/>
                <w:szCs w:val="4"/>
                <w:color w:val="FFFFFF"/>
              </w:rPr>
              <w:t>Commitment to Share Repurchases and Dividend Growth</w:t>
            </w:r>
          </w:p>
        </w:tc>
      </w:tr>
      <w:tr>
        <w:trPr>
          <w:trHeight w:val="39"/>
        </w:trPr>
        <w:tc>
          <w:tcPr>
            <w:tcW w:w="6320" w:type="dxa"/>
            <w:vAlign w:val="bottom"/>
            <w:gridSpan w:val="4"/>
          </w:tcPr>
          <w:p>
            <w:pPr>
              <w:spacing w:after="0" w:line="40" w:lineRule="exact"/>
              <w:rPr>
                <w:sz w:val="20"/>
                <w:szCs w:val="20"/>
                <w:color w:val="auto"/>
              </w:rPr>
            </w:pPr>
            <w:r>
              <w:rPr>
                <w:rFonts w:ascii="Arial" w:cs="Arial" w:eastAsia="Arial" w:hAnsi="Arial"/>
                <w:sz w:val="4"/>
                <w:szCs w:val="4"/>
                <w:color w:val="FFFFFF"/>
              </w:rPr>
              <w:t>Aggregate Value of Dividends and Share Repurchases ($M)</w:t>
            </w:r>
          </w:p>
        </w:tc>
      </w:tr>
      <w:tr>
        <w:trPr>
          <w:trHeight w:val="39"/>
        </w:trPr>
        <w:tc>
          <w:tcPr>
            <w:tcW w:w="360" w:type="dxa"/>
            <w:vAlign w:val="bottom"/>
          </w:tcPr>
          <w:p>
            <w:pPr>
              <w:spacing w:after="0" w:line="40" w:lineRule="exact"/>
              <w:rPr>
                <w:sz w:val="20"/>
                <w:szCs w:val="20"/>
                <w:color w:val="auto"/>
              </w:rPr>
            </w:pPr>
            <w:r>
              <w:rPr>
                <w:rFonts w:ascii="Arial" w:cs="Arial" w:eastAsia="Arial" w:hAnsi="Arial"/>
                <w:sz w:val="4"/>
                <w:szCs w:val="4"/>
                <w:color w:val="FFFFFF"/>
              </w:rPr>
              <w:t>2 606</w:t>
            </w: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39"/>
        </w:trPr>
        <w:tc>
          <w:tcPr>
            <w:tcW w:w="360" w:type="dxa"/>
            <w:vAlign w:val="bottom"/>
          </w:tcPr>
          <w:p>
            <w:pPr>
              <w:jc w:val="center"/>
              <w:ind w:left="13"/>
              <w:spacing w:after="0" w:line="40" w:lineRule="exact"/>
              <w:rPr>
                <w:sz w:val="20"/>
                <w:szCs w:val="20"/>
                <w:color w:val="auto"/>
              </w:rPr>
            </w:pPr>
            <w:r>
              <w:rPr>
                <w:rFonts w:ascii="Arial" w:cs="Arial" w:eastAsia="Arial" w:hAnsi="Arial"/>
                <w:sz w:val="4"/>
                <w:szCs w:val="4"/>
                <w:color w:val="FFFFFF"/>
              </w:rPr>
              <w:t>928</w:t>
            </w: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39"/>
        </w:trPr>
        <w:tc>
          <w:tcPr>
            <w:tcW w:w="360" w:type="dxa"/>
            <w:vAlign w:val="bottom"/>
          </w:tcPr>
          <w:p>
            <w:pPr>
              <w:jc w:val="center"/>
              <w:ind w:left="13"/>
              <w:spacing w:after="0" w:line="40" w:lineRule="exact"/>
              <w:rPr>
                <w:sz w:val="20"/>
                <w:szCs w:val="20"/>
                <w:color w:val="auto"/>
              </w:rPr>
            </w:pPr>
            <w:r>
              <w:rPr>
                <w:rFonts w:ascii="Arial" w:cs="Arial" w:eastAsia="Arial" w:hAnsi="Arial"/>
                <w:sz w:val="4"/>
                <w:szCs w:val="4"/>
                <w:color w:val="FFFFFF"/>
              </w:rPr>
              <w:t>672</w:t>
            </w: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39"/>
        </w:trPr>
        <w:tc>
          <w:tcPr>
            <w:tcW w:w="360" w:type="dxa"/>
            <w:vAlign w:val="bottom"/>
          </w:tcPr>
          <w:p>
            <w:pPr>
              <w:spacing w:after="0" w:line="40" w:lineRule="exact"/>
              <w:rPr>
                <w:sz w:val="20"/>
                <w:szCs w:val="20"/>
                <w:color w:val="auto"/>
              </w:rPr>
            </w:pPr>
            <w:r>
              <w:rPr>
                <w:rFonts w:ascii="Arial" w:cs="Arial" w:eastAsia="Arial" w:hAnsi="Arial"/>
                <w:sz w:val="4"/>
                <w:szCs w:val="4"/>
                <w:color w:val="FFFFFF"/>
              </w:rPr>
              <w:t>1,347</w:t>
            </w: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39"/>
        </w:trPr>
        <w:tc>
          <w:tcPr>
            <w:tcW w:w="360" w:type="dxa"/>
            <w:vAlign w:val="bottom"/>
          </w:tcPr>
          <w:p>
            <w:pPr>
              <w:spacing w:after="0" w:line="40" w:lineRule="exact"/>
              <w:rPr>
                <w:sz w:val="20"/>
                <w:szCs w:val="20"/>
                <w:color w:val="auto"/>
              </w:rPr>
            </w:pPr>
            <w:r>
              <w:rPr>
                <w:rFonts w:ascii="Arial" w:cs="Arial" w:eastAsia="Arial" w:hAnsi="Arial"/>
                <w:sz w:val="4"/>
                <w:szCs w:val="4"/>
                <w:color w:val="FFFFFF"/>
              </w:rPr>
              <w:t>770</w:t>
            </w: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39"/>
        </w:trPr>
        <w:tc>
          <w:tcPr>
            <w:tcW w:w="6320" w:type="dxa"/>
            <w:vAlign w:val="bottom"/>
            <w:gridSpan w:val="4"/>
          </w:tcPr>
          <w:p>
            <w:pPr>
              <w:spacing w:after="0" w:line="40" w:lineRule="exact"/>
              <w:rPr>
                <w:sz w:val="20"/>
                <w:szCs w:val="20"/>
                <w:color w:val="auto"/>
              </w:rPr>
            </w:pPr>
            <w:r>
              <w:rPr>
                <w:rFonts w:ascii="Arial" w:cs="Arial" w:eastAsia="Arial" w:hAnsi="Arial"/>
                <w:sz w:val="4"/>
                <w:szCs w:val="4"/>
                <w:color w:val="FFFFFF"/>
              </w:rPr>
              <w:t>2010 2011 2012 2013 2014</w:t>
            </w:r>
          </w:p>
        </w:tc>
      </w:tr>
      <w:tr>
        <w:trPr>
          <w:trHeight w:val="39"/>
        </w:trPr>
        <w:tc>
          <w:tcPr>
            <w:tcW w:w="1360" w:type="dxa"/>
            <w:vAlign w:val="bottom"/>
            <w:gridSpan w:val="3"/>
          </w:tcPr>
          <w:p>
            <w:pPr>
              <w:spacing w:after="0" w:line="40" w:lineRule="exact"/>
              <w:rPr>
                <w:sz w:val="20"/>
                <w:szCs w:val="20"/>
                <w:color w:val="auto"/>
              </w:rPr>
            </w:pPr>
            <w:r>
              <w:rPr>
                <w:rFonts w:ascii="Arial" w:cs="Arial" w:eastAsia="Arial" w:hAnsi="Arial"/>
                <w:sz w:val="4"/>
                <w:szCs w:val="4"/>
                <w:color w:val="FFFFFF"/>
              </w:rPr>
              <w:t>Buyback Dividend Total</w:t>
            </w:r>
          </w:p>
        </w:tc>
        <w:tc>
          <w:tcPr>
            <w:tcW w:w="4960" w:type="dxa"/>
            <w:vAlign w:val="bottom"/>
          </w:tcPr>
          <w:p>
            <w:pPr>
              <w:spacing w:after="0"/>
              <w:rPr>
                <w:sz w:val="3"/>
                <w:szCs w:val="3"/>
                <w:color w:val="auto"/>
              </w:rPr>
            </w:pPr>
          </w:p>
        </w:tc>
      </w:tr>
      <w:tr>
        <w:trPr>
          <w:trHeight w:val="39"/>
        </w:trPr>
        <w:tc>
          <w:tcPr>
            <w:tcW w:w="1360" w:type="dxa"/>
            <w:vAlign w:val="bottom"/>
            <w:gridSpan w:val="3"/>
          </w:tcPr>
          <w:p>
            <w:pPr>
              <w:spacing w:after="0" w:line="40" w:lineRule="exact"/>
              <w:rPr>
                <w:sz w:val="20"/>
                <w:szCs w:val="20"/>
                <w:color w:val="auto"/>
              </w:rPr>
            </w:pPr>
            <w:r>
              <w:rPr>
                <w:rFonts w:ascii="Arial" w:cs="Arial" w:eastAsia="Arial" w:hAnsi="Arial"/>
                <w:sz w:val="4"/>
                <w:szCs w:val="4"/>
                <w:color w:val="FFFFFF"/>
              </w:rPr>
              <w:t>Share Repurchases</w:t>
            </w:r>
          </w:p>
        </w:tc>
        <w:tc>
          <w:tcPr>
            <w:tcW w:w="4960" w:type="dxa"/>
            <w:vAlign w:val="bottom"/>
          </w:tcPr>
          <w:p>
            <w:pPr>
              <w:spacing w:after="0"/>
              <w:rPr>
                <w:sz w:val="3"/>
                <w:szCs w:val="3"/>
                <w:color w:val="auto"/>
              </w:rPr>
            </w:pPr>
          </w:p>
        </w:tc>
      </w:tr>
      <w:tr>
        <w:trPr>
          <w:trHeight w:val="39"/>
        </w:trPr>
        <w:tc>
          <w:tcPr>
            <w:tcW w:w="6320" w:type="dxa"/>
            <w:vAlign w:val="bottom"/>
            <w:gridSpan w:val="4"/>
          </w:tcPr>
          <w:p>
            <w:pPr>
              <w:spacing w:after="0" w:line="40" w:lineRule="exact"/>
              <w:rPr>
                <w:sz w:val="20"/>
                <w:szCs w:val="20"/>
                <w:color w:val="auto"/>
              </w:rPr>
            </w:pPr>
            <w:r>
              <w:rPr>
                <w:rFonts w:ascii="Arial" w:cs="Arial" w:eastAsia="Arial" w:hAnsi="Arial"/>
                <w:sz w:val="4"/>
                <w:szCs w:val="4"/>
                <w:color w:val="FFFFFF"/>
              </w:rPr>
              <w:t>New $500M share repurchase authorization announced in February 2015; total of $3.3B of share repurchases since 2005</w:t>
            </w:r>
          </w:p>
        </w:tc>
      </w:tr>
      <w:tr>
        <w:trPr>
          <w:trHeight w:val="79"/>
        </w:trPr>
        <w:tc>
          <w:tcPr>
            <w:tcW w:w="760" w:type="dxa"/>
            <w:vAlign w:val="bottom"/>
            <w:gridSpan w:val="2"/>
          </w:tcPr>
          <w:p>
            <w:pPr>
              <w:spacing w:after="0" w:line="79" w:lineRule="exact"/>
              <w:rPr>
                <w:sz w:val="20"/>
                <w:szCs w:val="20"/>
                <w:color w:val="auto"/>
              </w:rPr>
            </w:pPr>
            <w:r>
              <w:rPr>
                <w:rFonts w:ascii="Arial" w:cs="Arial" w:eastAsia="Arial" w:hAnsi="Arial"/>
                <w:sz w:val="9"/>
                <w:szCs w:val="9"/>
                <w:color w:val="FFFFFF"/>
              </w:rPr>
              <w:t>Dividend</w:t>
            </w:r>
          </w:p>
        </w:tc>
        <w:tc>
          <w:tcPr>
            <w:tcW w:w="5560" w:type="dxa"/>
            <w:vAlign w:val="bottom"/>
            <w:gridSpan w:val="2"/>
          </w:tcPr>
          <w:p>
            <w:pPr>
              <w:jc w:val="right"/>
              <w:ind w:right="1836"/>
              <w:spacing w:after="0" w:line="79" w:lineRule="exact"/>
              <w:rPr>
                <w:sz w:val="20"/>
                <w:szCs w:val="20"/>
                <w:color w:val="auto"/>
              </w:rPr>
            </w:pPr>
            <w:r>
              <w:rPr>
                <w:rFonts w:ascii="Arial" w:cs="Arial" w:eastAsia="Arial" w:hAnsi="Arial"/>
                <w:sz w:val="9"/>
                <w:szCs w:val="9"/>
                <w:color w:val="FFFFFF"/>
              </w:rPr>
              <w:t>ased 7% in February 2015 to $0.46 per share (Payable May 15, 2015)</w:t>
            </w:r>
          </w:p>
        </w:tc>
      </w:tr>
      <w:tr>
        <w:trPr>
          <w:trHeight w:val="39"/>
        </w:trPr>
        <w:tc>
          <w:tcPr>
            <w:tcW w:w="1360" w:type="dxa"/>
            <w:vAlign w:val="bottom"/>
            <w:gridSpan w:val="3"/>
          </w:tcPr>
          <w:p>
            <w:pPr>
              <w:ind w:left="80"/>
              <w:spacing w:after="0" w:line="40" w:lineRule="exact"/>
              <w:rPr>
                <w:sz w:val="20"/>
                <w:szCs w:val="20"/>
                <w:color w:val="auto"/>
              </w:rPr>
            </w:pPr>
            <w:r>
              <w:rPr>
                <w:rFonts w:ascii="Arial" w:cs="Arial" w:eastAsia="Arial" w:hAnsi="Arial"/>
                <w:sz w:val="4"/>
                <w:szCs w:val="4"/>
                <w:color w:val="FFFFFF"/>
              </w:rPr>
              <w:t>atest increase is 11th in</w:t>
            </w:r>
          </w:p>
        </w:tc>
        <w:tc>
          <w:tcPr>
            <w:tcW w:w="4960" w:type="dxa"/>
            <w:vAlign w:val="bottom"/>
          </w:tcPr>
          <w:p>
            <w:pPr>
              <w:jc w:val="right"/>
              <w:spacing w:after="0" w:line="40" w:lineRule="exact"/>
              <w:rPr>
                <w:sz w:val="20"/>
                <w:szCs w:val="20"/>
                <w:color w:val="auto"/>
              </w:rPr>
            </w:pPr>
            <w:r>
              <w:rPr>
                <w:rFonts w:ascii="Arial" w:cs="Arial" w:eastAsia="Arial" w:hAnsi="Arial"/>
                <w:sz w:val="4"/>
                <w:szCs w:val="4"/>
                <w:color w:val="FFFFFF"/>
              </w:rPr>
              <w:t>12 year period during which quarterly dividend grew from $0.03 per share to $0.46 per share</w:t>
            </w:r>
          </w:p>
        </w:tc>
      </w:tr>
      <w:tr>
        <w:trPr>
          <w:trHeight w:val="39"/>
        </w:trPr>
        <w:tc>
          <w:tcPr>
            <w:tcW w:w="6320" w:type="dxa"/>
            <w:vAlign w:val="bottom"/>
            <w:gridSpan w:val="4"/>
          </w:tcPr>
          <w:p>
            <w:pPr>
              <w:spacing w:after="0" w:line="40" w:lineRule="exact"/>
              <w:rPr>
                <w:sz w:val="20"/>
                <w:szCs w:val="20"/>
                <w:color w:val="auto"/>
              </w:rPr>
            </w:pPr>
            <w:r>
              <w:rPr>
                <w:rFonts w:ascii="Arial" w:cs="Arial" w:eastAsia="Arial" w:hAnsi="Arial"/>
                <w:sz w:val="4"/>
                <w:szCs w:val="4"/>
                <w:color w:val="FFFFFF"/>
              </w:rPr>
              <w:t>Long-Term TSR Performance Relative to Indices</w:t>
            </w:r>
          </w:p>
        </w:tc>
      </w:tr>
      <w:tr>
        <w:trPr>
          <w:trHeight w:val="39"/>
        </w:trPr>
        <w:tc>
          <w:tcPr>
            <w:tcW w:w="6320" w:type="dxa"/>
            <w:vAlign w:val="bottom"/>
            <w:gridSpan w:val="4"/>
          </w:tcPr>
          <w:p>
            <w:pPr>
              <w:spacing w:after="0" w:line="40" w:lineRule="exact"/>
              <w:rPr>
                <w:sz w:val="20"/>
                <w:szCs w:val="20"/>
                <w:color w:val="auto"/>
              </w:rPr>
            </w:pPr>
            <w:r>
              <w:rPr>
                <w:rFonts w:ascii="Arial" w:cs="Arial" w:eastAsia="Arial" w:hAnsi="Arial"/>
                <w:sz w:val="4"/>
                <w:szCs w:val="4"/>
                <w:color w:val="FFFFFF"/>
              </w:rPr>
              <w:t>Annualized 1-Year, 3-Year, 5-Year and 10-Year Total Shareholder Return Ending 12/31/2014</w:t>
            </w:r>
          </w:p>
        </w:tc>
      </w:tr>
      <w:tr>
        <w:trPr>
          <w:trHeight w:val="39"/>
        </w:trPr>
        <w:tc>
          <w:tcPr>
            <w:tcW w:w="360" w:type="dxa"/>
            <w:vAlign w:val="bottom"/>
          </w:tcPr>
          <w:p>
            <w:pPr>
              <w:jc w:val="center"/>
              <w:ind w:left="33"/>
              <w:spacing w:after="0" w:line="40" w:lineRule="exact"/>
              <w:rPr>
                <w:sz w:val="20"/>
                <w:szCs w:val="20"/>
                <w:color w:val="auto"/>
              </w:rPr>
            </w:pPr>
            <w:r>
              <w:rPr>
                <w:rFonts w:ascii="Arial" w:cs="Arial" w:eastAsia="Arial" w:hAnsi="Arial"/>
                <w:sz w:val="4"/>
                <w:szCs w:val="4"/>
                <w:color w:val="FFFFFF"/>
              </w:rPr>
              <w:t>4 1%</w:t>
            </w: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39"/>
        </w:trPr>
        <w:tc>
          <w:tcPr>
            <w:tcW w:w="760" w:type="dxa"/>
            <w:vAlign w:val="bottom"/>
            <w:gridSpan w:val="2"/>
          </w:tcPr>
          <w:p>
            <w:pPr>
              <w:spacing w:after="0" w:line="40" w:lineRule="exact"/>
              <w:rPr>
                <w:sz w:val="20"/>
                <w:szCs w:val="20"/>
                <w:color w:val="auto"/>
              </w:rPr>
            </w:pPr>
            <w:r>
              <w:rPr>
                <w:rFonts w:ascii="Arial" w:cs="Arial" w:eastAsia="Arial" w:hAnsi="Arial"/>
                <w:sz w:val="4"/>
                <w:szCs w:val="4"/>
                <w:color w:val="FFFFFF"/>
              </w:rPr>
              <w:t>20 4% 20 6%</w:t>
            </w:r>
          </w:p>
        </w:tc>
        <w:tc>
          <w:tcPr>
            <w:tcW w:w="6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39"/>
        </w:trPr>
        <w:tc>
          <w:tcPr>
            <w:tcW w:w="360" w:type="dxa"/>
            <w:vAlign w:val="bottom"/>
          </w:tcPr>
          <w:p>
            <w:pPr>
              <w:spacing w:after="0" w:line="40" w:lineRule="exact"/>
              <w:rPr>
                <w:sz w:val="20"/>
                <w:szCs w:val="20"/>
                <w:color w:val="auto"/>
              </w:rPr>
            </w:pPr>
            <w:r>
              <w:rPr>
                <w:rFonts w:ascii="Arial" w:cs="Arial" w:eastAsia="Arial" w:hAnsi="Arial"/>
                <w:sz w:val="4"/>
                <w:szCs w:val="4"/>
                <w:color w:val="FFFFFF"/>
              </w:rPr>
              <w:t>13.7%</w:t>
            </w:r>
          </w:p>
        </w:tc>
        <w:tc>
          <w:tcPr>
            <w:tcW w:w="5960" w:type="dxa"/>
            <w:vAlign w:val="bottom"/>
            <w:gridSpan w:val="3"/>
          </w:tcPr>
          <w:p>
            <w:pPr>
              <w:jc w:val="right"/>
              <w:ind w:right="4076"/>
              <w:spacing w:after="0" w:line="40" w:lineRule="exact"/>
              <w:rPr>
                <w:sz w:val="20"/>
                <w:szCs w:val="20"/>
                <w:color w:val="auto"/>
              </w:rPr>
            </w:pPr>
            <w:r>
              <w:rPr>
                <w:rFonts w:ascii="Arial" w:cs="Arial" w:eastAsia="Arial" w:hAnsi="Arial"/>
                <w:sz w:val="4"/>
                <w:szCs w:val="4"/>
                <w:color w:val="FFFFFF"/>
              </w:rPr>
              <w:t>13.2% 14.6% 15.2% 13.4% 14.0%</w:t>
            </w:r>
          </w:p>
        </w:tc>
      </w:tr>
      <w:tr>
        <w:trPr>
          <w:trHeight w:val="39"/>
        </w:trPr>
        <w:tc>
          <w:tcPr>
            <w:tcW w:w="760" w:type="dxa"/>
            <w:vAlign w:val="bottom"/>
            <w:gridSpan w:val="2"/>
          </w:tcPr>
          <w:p>
            <w:pPr>
              <w:spacing w:after="0" w:line="40" w:lineRule="exact"/>
              <w:rPr>
                <w:sz w:val="20"/>
                <w:szCs w:val="20"/>
                <w:color w:val="auto"/>
              </w:rPr>
            </w:pPr>
            <w:r>
              <w:rPr>
                <w:rFonts w:ascii="Arial" w:cs="Arial" w:eastAsia="Arial" w:hAnsi="Arial"/>
                <w:sz w:val="4"/>
                <w:szCs w:val="4"/>
                <w:color w:val="FFFFFF"/>
              </w:rPr>
              <w:t>7 7% 7.9%</w:t>
            </w:r>
          </w:p>
        </w:tc>
        <w:tc>
          <w:tcPr>
            <w:tcW w:w="6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0"/>
        </w:trPr>
        <w:tc>
          <w:tcPr>
            <w:tcW w:w="360" w:type="dxa"/>
            <w:vAlign w:val="bottom"/>
          </w:tcPr>
          <w:p>
            <w:pPr>
              <w:spacing w:after="0"/>
              <w:rPr>
                <w:sz w:val="20"/>
                <w:szCs w:val="20"/>
                <w:color w:val="auto"/>
              </w:rPr>
            </w:pPr>
            <w:r>
              <w:rPr>
                <w:rFonts w:ascii="Arial" w:cs="Arial" w:eastAsia="Arial" w:hAnsi="Arial"/>
                <w:sz w:val="13"/>
                <w:szCs w:val="13"/>
                <w:color w:val="FFFFFF"/>
              </w:rPr>
              <w:t>3.2%</w:t>
            </w: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3"/>
          <w:szCs w:val="13"/>
          <w:color w:val="FFFFFF"/>
        </w:rPr>
        <w:t>1-Year TSR 3-Year TSR 5-Year TSR 10-Year TSR</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FFFFFF"/>
        </w:rPr>
        <w:t>Hasbro S&amp;P 500 Index Russell 1000 Consumer Discretionary Index</w:t>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Key Changes to CEO Pay</w:t>
      </w:r>
    </w:p>
    <w:p>
      <w:pPr>
        <w:ind w:right="3719"/>
        <w:spacing w:after="0" w:line="234" w:lineRule="auto"/>
        <w:rPr>
          <w:sz w:val="20"/>
          <w:szCs w:val="20"/>
          <w:color w:val="auto"/>
        </w:rPr>
      </w:pPr>
      <w:r>
        <w:rPr>
          <w:rFonts w:ascii="Arial" w:cs="Arial" w:eastAsia="Arial" w:hAnsi="Arial"/>
          <w:sz w:val="6"/>
          <w:szCs w:val="6"/>
          <w:color w:val="FFFFFF"/>
        </w:rPr>
        <w:t xml:space="preserve">Our Board and CEO amended our CEO’s employment agreement in direct response to feedback received from shareholders </w:t>
      </w:r>
      <w:r>
        <w:rPr>
          <w:rFonts w:ascii="Arial" w:cs="Arial" w:eastAsia="Arial" w:hAnsi="Arial"/>
          <w:sz w:val="7"/>
          <w:szCs w:val="7"/>
          <w:color w:val="FFFFFF"/>
          <w:vertAlign w:val="subscript"/>
        </w:rPr>
        <w:t>Reduced</w:t>
      </w:r>
      <w:r>
        <w:rPr>
          <w:rFonts w:ascii="Arial" w:cs="Arial" w:eastAsia="Arial" w:hAnsi="Arial"/>
          <w:sz w:val="6"/>
          <w:szCs w:val="6"/>
          <w:color w:val="FFFFFF"/>
        </w:rPr>
        <w:t>Wengaged with nearly holders of 50% of total shares outstanding as of 2014 year end</w:t>
      </w:r>
    </w:p>
    <w:p>
      <w:pPr>
        <w:ind w:right="3499" w:firstLine="491"/>
        <w:spacing w:after="0" w:line="182" w:lineRule="auto"/>
        <w:rPr>
          <w:sz w:val="20"/>
          <w:szCs w:val="20"/>
          <w:color w:val="auto"/>
        </w:rPr>
      </w:pPr>
      <w:r>
        <w:rPr>
          <w:rFonts w:ascii="Arial" w:cs="Arial" w:eastAsia="Arial" w:hAnsi="Arial"/>
          <w:sz w:val="9"/>
          <w:szCs w:val="9"/>
          <w:color w:val="FFFFFF"/>
        </w:rPr>
        <w:t>Long- • Decreased annual target from 500% of base salary to 400% of base salary effective for balance of employment term Incentive agreement</w:t>
      </w:r>
    </w:p>
    <w:p>
      <w:pPr>
        <w:spacing w:after="0" w:line="205" w:lineRule="auto"/>
        <w:rPr>
          <w:sz w:val="20"/>
          <w:szCs w:val="20"/>
          <w:color w:val="auto"/>
        </w:rPr>
      </w:pPr>
      <w:r>
        <w:rPr>
          <w:rFonts w:ascii="Arial" w:cs="Arial" w:eastAsia="Arial" w:hAnsi="Arial"/>
          <w:sz w:val="4"/>
          <w:szCs w:val="4"/>
          <w:color w:val="FFFFFF"/>
        </w:rPr>
        <w:t>Target for CEO</w:t>
      </w:r>
    </w:p>
    <w:p>
      <w:pPr>
        <w:ind w:right="3819"/>
        <w:spacing w:after="0" w:line="204" w:lineRule="auto"/>
        <w:rPr>
          <w:sz w:val="20"/>
          <w:szCs w:val="20"/>
          <w:color w:val="auto"/>
        </w:rPr>
      </w:pPr>
      <w:r>
        <w:rPr>
          <w:rFonts w:ascii="Arial" w:cs="Arial" w:eastAsia="Arial" w:hAnsi="Arial"/>
          <w:sz w:val="8"/>
          <w:szCs w:val="8"/>
          <w:color w:val="FFFFFF"/>
        </w:rPr>
        <w:t>Added ROIC as a • Added ROIC, along with net revenue and EPS, as a performance metric for performance share awards Performance Metric beginning in 2015</w:t>
      </w:r>
    </w:p>
    <w:p>
      <w:pPr>
        <w:spacing w:after="0" w:line="206" w:lineRule="auto"/>
        <w:rPr>
          <w:sz w:val="20"/>
          <w:szCs w:val="20"/>
          <w:color w:val="auto"/>
        </w:rPr>
      </w:pPr>
      <w:r>
        <w:rPr>
          <w:rFonts w:ascii="Arial" w:cs="Arial" w:eastAsia="Arial" w:hAnsi="Arial"/>
          <w:sz w:val="4"/>
          <w:szCs w:val="4"/>
          <w:color w:val="FFFFFF"/>
        </w:rPr>
        <w:t>Eliminated TSR</w:t>
      </w:r>
    </w:p>
    <w:p>
      <w:pPr>
        <w:ind w:right="3579"/>
        <w:spacing w:after="0" w:line="234" w:lineRule="auto"/>
        <w:rPr>
          <w:sz w:val="20"/>
          <w:szCs w:val="20"/>
          <w:color w:val="auto"/>
        </w:rPr>
      </w:pPr>
      <w:r>
        <w:rPr>
          <w:rFonts w:ascii="Arial" w:cs="Arial" w:eastAsia="Arial" w:hAnsi="Arial"/>
          <w:sz w:val="7"/>
          <w:szCs w:val="7"/>
          <w:color w:val="FFFFFF"/>
          <w:vertAlign w:val="subscript"/>
        </w:rPr>
        <w:t>Performance</w:t>
      </w:r>
      <w:r>
        <w:rPr>
          <w:rFonts w:ascii="Arial" w:cs="Arial" w:eastAsia="Arial" w:hAnsi="Arial"/>
          <w:sz w:val="6"/>
          <w:szCs w:val="6"/>
          <w:color w:val="FFFFFF"/>
        </w:rPr>
        <w:t xml:space="preserve"> • Eliminated 2.0X multiplier that could have increased the number of performance awards granted on the basis of Multiplier company/index TSR comparison (to S&amp;P 500) from 2013 and 2014 performance share awards</w:t>
      </w:r>
    </w:p>
    <w:p>
      <w:pPr>
        <w:spacing w:after="0" w:line="205" w:lineRule="auto"/>
        <w:rPr>
          <w:sz w:val="20"/>
          <w:szCs w:val="20"/>
          <w:color w:val="auto"/>
        </w:rPr>
      </w:pPr>
      <w:r>
        <w:rPr>
          <w:rFonts w:ascii="Arial" w:cs="Arial" w:eastAsia="Arial" w:hAnsi="Arial"/>
          <w:sz w:val="2"/>
          <w:szCs w:val="2"/>
          <w:color w:val="FFFFFF"/>
        </w:rPr>
        <w:t xml:space="preserve">• Added second requirement for full vesting of RSUs not yet earned at date of </w:t>
      </w:r>
      <w:r>
        <w:rPr>
          <w:rFonts w:ascii="Arial" w:cs="Arial" w:eastAsia="Arial" w:hAnsi="Arial"/>
          <w:sz w:val="4"/>
          <w:szCs w:val="4"/>
          <w:color w:val="FFFFFF"/>
          <w:vertAlign w:val="subscript"/>
        </w:rPr>
        <w:t>amendment</w:t>
      </w:r>
    </w:p>
    <w:p>
      <w:pPr>
        <w:spacing w:after="0" w:line="205" w:lineRule="auto"/>
        <w:tabs>
          <w:tab w:leader="none" w:pos="4620" w:val="left"/>
        </w:tabs>
        <w:rPr>
          <w:sz w:val="20"/>
          <w:szCs w:val="20"/>
          <w:color w:val="auto"/>
        </w:rPr>
      </w:pPr>
      <w:r>
        <w:rPr>
          <w:rFonts w:ascii="Arial" w:cs="Arial" w:eastAsia="Arial" w:hAnsi="Arial"/>
          <w:sz w:val="2"/>
          <w:szCs w:val="2"/>
          <w:color w:val="FFFFFF"/>
        </w:rPr>
        <w:t>Added Vesting • Share price must</w:t>
      </w:r>
      <w:r>
        <w:rPr>
          <w:rFonts w:ascii="Arial" w:cs="Arial" w:eastAsia="Arial" w:hAnsi="Arial"/>
          <w:sz w:val="4"/>
          <w:szCs w:val="4"/>
          <w:color w:val="FFFFFF"/>
          <w:vertAlign w:val="subscript"/>
        </w:rPr>
        <w:t>December</w:t>
      </w:r>
      <w:r>
        <w:rPr>
          <w:rFonts w:ascii="Arial" w:cs="Arial" w:eastAsia="Arial" w:hAnsi="Arial"/>
          <w:sz w:val="2"/>
          <w:szCs w:val="2"/>
          <w:color w:val="FFFFFF"/>
        </w:rPr>
        <w:t>atorabove designated share price threshold over</w:t>
      </w:r>
      <w:r>
        <w:rPr>
          <w:sz w:val="20"/>
          <w:szCs w:val="20"/>
          <w:color w:val="auto"/>
        </w:rPr>
        <w:tab/>
      </w:r>
      <w:r>
        <w:rPr>
          <w:rFonts w:ascii="Arial" w:cs="Arial" w:eastAsia="Arial" w:hAnsi="Arial"/>
          <w:sz w:val="4"/>
          <w:szCs w:val="4"/>
          <w:color w:val="FFFFFF"/>
        </w:rPr>
        <w:t>30 trading day period prior to (1) end of</w:t>
      </w:r>
    </w:p>
    <w:p>
      <w:pPr>
        <w:ind w:right="3419"/>
        <w:spacing w:after="0" w:line="182" w:lineRule="auto"/>
        <w:rPr>
          <w:sz w:val="20"/>
          <w:szCs w:val="20"/>
          <w:color w:val="auto"/>
        </w:rPr>
      </w:pPr>
      <w:r>
        <w:rPr>
          <w:rFonts w:ascii="Arial" w:cs="Arial" w:eastAsia="Arial" w:hAnsi="Arial"/>
          <w:sz w:val="9"/>
          <w:szCs w:val="9"/>
          <w:color w:val="FFFFFF"/>
        </w:rPr>
        <w:t>Component to CEO’s contract in 2017, or (2) termination if that occurs at an earlier date, even if share price thresholds One-Time RSU had been satisfied earlier</w:t>
      </w:r>
    </w:p>
    <w:p>
      <w:pPr>
        <w:ind w:right="3699"/>
        <w:spacing w:after="0" w:line="204" w:lineRule="auto"/>
        <w:rPr>
          <w:sz w:val="20"/>
          <w:szCs w:val="20"/>
          <w:color w:val="auto"/>
        </w:rPr>
      </w:pPr>
      <w:r>
        <w:rPr>
          <w:rFonts w:ascii="Arial" w:cs="Arial" w:eastAsia="Arial" w:hAnsi="Arial"/>
          <w:sz w:val="8"/>
          <w:szCs w:val="8"/>
          <w:color w:val="FFFFFF"/>
        </w:rPr>
        <w:t>Grant • If stock price is not maintained over 30 trading day period, as little as 50% of RSUs will vest, with actual percentage determined in accordance with fixed schedule</w:t>
      </w:r>
    </w:p>
    <w:p>
      <w:pPr>
        <w:spacing w:after="0"/>
        <w:rPr>
          <w:sz w:val="20"/>
          <w:szCs w:val="20"/>
          <w:color w:val="auto"/>
        </w:rPr>
      </w:pPr>
      <w:r>
        <w:rPr>
          <w:rFonts w:ascii="Arial" w:cs="Arial" w:eastAsia="Arial" w:hAnsi="Arial"/>
          <w:sz w:val="13"/>
          <w:szCs w:val="13"/>
          <w:color w:val="FFFFFF"/>
        </w:rPr>
        <w:t>Net Result: Potential forfeiture of $11M in compensation</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CEO Pay is Closely Aligned with Company Performance</w:t>
      </w:r>
    </w:p>
    <w:p>
      <w:pPr>
        <w:spacing w:after="0" w:line="182" w:lineRule="auto"/>
        <w:rPr>
          <w:sz w:val="20"/>
          <w:szCs w:val="20"/>
          <w:color w:val="auto"/>
        </w:rPr>
      </w:pPr>
      <w:r>
        <w:rPr>
          <w:rFonts w:ascii="Arial" w:cs="Arial" w:eastAsia="Arial" w:hAnsi="Arial"/>
          <w:sz w:val="9"/>
          <w:szCs w:val="9"/>
          <w:color w:val="FFFFFF"/>
        </w:rPr>
        <w:t>2014 of CEO Pay At-Risk* 2015 CEO Pay Program Elements</w:t>
      </w:r>
    </w:p>
    <w:p>
      <w:pPr>
        <w:spacing w:after="0" w:line="205" w:lineRule="auto"/>
        <w:rPr>
          <w:sz w:val="20"/>
          <w:szCs w:val="20"/>
          <w:color w:val="auto"/>
        </w:rPr>
      </w:pPr>
      <w:r>
        <w:rPr>
          <w:rFonts w:ascii="Arial" w:cs="Arial" w:eastAsia="Arial" w:hAnsi="Arial"/>
          <w:sz w:val="2"/>
          <w:szCs w:val="2"/>
          <w:color w:val="FFFFFF"/>
        </w:rPr>
        <w:t>9</w:t>
      </w:r>
      <w:r>
        <w:rPr>
          <w:rFonts w:ascii="Arial" w:cs="Arial" w:eastAsia="Arial" w:hAnsi="Arial"/>
          <w:sz w:val="4"/>
          <w:szCs w:val="4"/>
          <w:color w:val="FFFFFF"/>
          <w:vertAlign w:val="superscript"/>
        </w:rPr>
        <w:t>3</w:t>
      </w:r>
      <w:r>
        <w:rPr>
          <w:rFonts w:ascii="Arial" w:cs="Arial" w:eastAsia="Arial" w:hAnsi="Arial"/>
          <w:sz w:val="2"/>
          <w:szCs w:val="2"/>
          <w:color w:val="FFFFFF"/>
        </w:rPr>
        <w:t>.0%</w:t>
      </w:r>
    </w:p>
    <w:p>
      <w:pPr>
        <w:spacing w:after="0" w:line="205" w:lineRule="auto"/>
        <w:rPr>
          <w:sz w:val="20"/>
          <w:szCs w:val="20"/>
          <w:color w:val="auto"/>
        </w:rPr>
      </w:pPr>
      <w:r>
        <w:rPr>
          <w:rFonts w:ascii="Arial" w:cs="Arial" w:eastAsia="Arial" w:hAnsi="Arial"/>
          <w:sz w:val="4"/>
          <w:szCs w:val="4"/>
          <w:color w:val="FFFFFF"/>
          <w:vertAlign w:val="superscript"/>
        </w:rPr>
        <w:t>16</w:t>
      </w:r>
      <w:r>
        <w:rPr>
          <w:rFonts w:ascii="Arial" w:cs="Arial" w:eastAsia="Arial" w:hAnsi="Arial"/>
          <w:sz w:val="2"/>
          <w:szCs w:val="2"/>
          <w:color w:val="FFFFFF"/>
        </w:rPr>
        <w:t>.0%</w:t>
      </w:r>
    </w:p>
    <w:p>
      <w:pPr>
        <w:spacing w:after="0" w:line="205" w:lineRule="auto"/>
        <w:rPr>
          <w:sz w:val="20"/>
          <w:szCs w:val="20"/>
          <w:color w:val="auto"/>
        </w:rPr>
      </w:pPr>
      <w:r>
        <w:rPr>
          <w:rFonts w:ascii="Arial" w:cs="Arial" w:eastAsia="Arial" w:hAnsi="Arial"/>
          <w:sz w:val="4"/>
          <w:szCs w:val="4"/>
          <w:color w:val="FFFFFF"/>
        </w:rPr>
        <w:t>72</w:t>
      </w:r>
    </w:p>
    <w:p>
      <w:pPr>
        <w:spacing w:after="0" w:line="182" w:lineRule="auto"/>
        <w:rPr>
          <w:sz w:val="20"/>
          <w:szCs w:val="20"/>
          <w:color w:val="auto"/>
        </w:rPr>
      </w:pPr>
      <w:r>
        <w:rPr>
          <w:rFonts w:ascii="Arial" w:cs="Arial" w:eastAsia="Arial" w:hAnsi="Arial"/>
          <w:sz w:val="9"/>
          <w:szCs w:val="9"/>
          <w:color w:val="FFFFFF"/>
        </w:rPr>
        <w:t>Fixed Compensation (Salary)</w:t>
      </w:r>
    </w:p>
    <w:p>
      <w:pPr>
        <w:spacing w:after="0" w:line="205" w:lineRule="auto"/>
        <w:rPr>
          <w:sz w:val="20"/>
          <w:szCs w:val="20"/>
          <w:color w:val="auto"/>
        </w:rPr>
      </w:pPr>
      <w:r>
        <w:rPr>
          <w:rFonts w:ascii="Arial" w:cs="Arial" w:eastAsia="Arial" w:hAnsi="Arial"/>
          <w:sz w:val="4"/>
          <w:szCs w:val="4"/>
          <w:color w:val="FFFFFF"/>
          <w:vertAlign w:val="subscript"/>
        </w:rPr>
        <w:t>Variable</w:t>
      </w:r>
      <w:r>
        <w:rPr>
          <w:rFonts w:ascii="Arial" w:cs="Arial" w:eastAsia="Arial" w:hAnsi="Arial"/>
          <w:sz w:val="2"/>
          <w:szCs w:val="2"/>
          <w:color w:val="FFFFFF"/>
        </w:rPr>
        <w:t xml:space="preserve"> NonEquity-EquityCompensationCompensation</w:t>
      </w:r>
    </w:p>
    <w:p>
      <w:pPr>
        <w:spacing w:after="0" w:line="189" w:lineRule="auto"/>
        <w:rPr>
          <w:sz w:val="20"/>
          <w:szCs w:val="20"/>
          <w:color w:val="auto"/>
        </w:rPr>
      </w:pPr>
      <w:r>
        <w:rPr>
          <w:rFonts w:ascii="Arial" w:cs="Arial" w:eastAsia="Arial" w:hAnsi="Arial"/>
          <w:sz w:val="13"/>
          <w:szCs w:val="13"/>
          <w:color w:val="FFFFFF"/>
          <w:vertAlign w:val="subscript"/>
        </w:rPr>
        <w:t>Compensation</w:t>
      </w:r>
      <w:r>
        <w:rPr>
          <w:rFonts w:ascii="Arial" w:cs="Arial" w:eastAsia="Arial" w:hAnsi="Arial"/>
          <w:sz w:val="8"/>
          <w:szCs w:val="8"/>
          <w:color w:val="FFFFFF"/>
        </w:rPr>
        <w:t>hangeinPension Value and NQDC Earnings and All Other</w:t>
      </w:r>
    </w:p>
    <w:p>
      <w:pPr>
        <w:spacing w:after="0" w:line="182" w:lineRule="auto"/>
        <w:rPr>
          <w:sz w:val="20"/>
          <w:szCs w:val="20"/>
          <w:color w:val="auto"/>
        </w:rPr>
      </w:pPr>
      <w:r>
        <w:rPr>
          <w:rFonts w:ascii="Arial" w:cs="Arial" w:eastAsia="Arial" w:hAnsi="Arial"/>
          <w:sz w:val="7"/>
          <w:szCs w:val="7"/>
          <w:color w:val="FFFFFF"/>
        </w:rPr>
        <w:t>und</w:t>
      </w:r>
      <w:r>
        <w:rPr>
          <w:rFonts w:ascii="Arial" w:cs="Arial" w:eastAsia="Arial" w:hAnsi="Arial"/>
          <w:sz w:val="9"/>
          <w:szCs w:val="9"/>
          <w:color w:val="FFFFFF"/>
          <w:vertAlign w:val="superscript"/>
        </w:rPr>
        <w:t>Base</w:t>
      </w:r>
      <w:r>
        <w:rPr>
          <w:rFonts w:ascii="Arial" w:cs="Arial" w:eastAsia="Arial" w:hAnsi="Arial"/>
          <w:sz w:val="7"/>
          <w:szCs w:val="7"/>
          <w:color w:val="FFFFFF"/>
        </w:rPr>
        <w:t>*Includesramendedsecondemploymenttrancheof SpecialagreementRSUinAward2014 given</w:t>
      </w:r>
    </w:p>
    <w:p>
      <w:pPr>
        <w:spacing w:after="0" w:line="183" w:lineRule="auto"/>
        <w:rPr>
          <w:sz w:val="20"/>
          <w:szCs w:val="20"/>
          <w:color w:val="auto"/>
        </w:rPr>
      </w:pPr>
      <w:r>
        <w:rPr>
          <w:rFonts w:ascii="Arial" w:cs="Arial" w:eastAsia="Arial" w:hAnsi="Arial"/>
          <w:sz w:val="9"/>
          <w:szCs w:val="9"/>
          <w:color w:val="FFFFFF"/>
        </w:rPr>
        <w:t>performanceSalary• Set at industry competitive level, in light of individual experience and</w:t>
      </w:r>
    </w:p>
    <w:p>
      <w:pPr>
        <w:spacing w:after="0" w:line="205" w:lineRule="auto"/>
        <w:rPr>
          <w:sz w:val="20"/>
          <w:szCs w:val="20"/>
          <w:color w:val="auto"/>
        </w:rPr>
      </w:pPr>
      <w:r>
        <w:rPr>
          <w:rFonts w:ascii="Arial" w:cs="Arial" w:eastAsia="Arial" w:hAnsi="Arial"/>
          <w:sz w:val="8"/>
          <w:szCs w:val="8"/>
          <w:color w:val="FFFFFF"/>
        </w:rPr>
        <w:t>against•Performancestatedannual-based;financialtiedtocompanyandnon-andfinancialindividualgoalsachievement</w:t>
      </w:r>
    </w:p>
    <w:p>
      <w:pPr>
        <w:spacing w:after="0" w:line="205" w:lineRule="auto"/>
        <w:rPr>
          <w:sz w:val="20"/>
          <w:szCs w:val="20"/>
          <w:color w:val="auto"/>
        </w:rPr>
      </w:pPr>
      <w:r>
        <w:rPr>
          <w:rFonts w:ascii="Arial" w:cs="Arial" w:eastAsia="Arial" w:hAnsi="Arial"/>
          <w:sz w:val="4"/>
          <w:szCs w:val="4"/>
          <w:color w:val="FFFFFF"/>
        </w:rPr>
        <w:t>IncentiveAnnual• Align40%TotalmanagementNetRevenuesbehavior with shareholder interests</w:t>
      </w:r>
    </w:p>
    <w:p>
      <w:pPr>
        <w:spacing w:after="0" w:line="182" w:lineRule="auto"/>
        <w:rPr>
          <w:sz w:val="20"/>
          <w:szCs w:val="20"/>
          <w:color w:val="auto"/>
        </w:rPr>
      </w:pPr>
      <w:r>
        <w:rPr>
          <w:rFonts w:ascii="Arial" w:cs="Arial" w:eastAsia="Arial" w:hAnsi="Arial"/>
          <w:sz w:val="9"/>
          <w:szCs w:val="9"/>
          <w:color w:val="FFFFFF"/>
        </w:rPr>
        <w:t>Plan Performance</w:t>
      </w:r>
    </w:p>
    <w:p>
      <w:pPr>
        <w:spacing w:after="0" w:line="205" w:lineRule="auto"/>
        <w:rPr>
          <w:sz w:val="20"/>
          <w:szCs w:val="20"/>
          <w:color w:val="auto"/>
        </w:rPr>
      </w:pPr>
      <w:r>
        <w:rPr>
          <w:rFonts w:ascii="Arial" w:cs="Arial" w:eastAsia="Arial" w:hAnsi="Arial"/>
          <w:sz w:val="4"/>
          <w:szCs w:val="4"/>
          <w:color w:val="FFFFFF"/>
        </w:rPr>
        <w:t>20%MeasuresFree 40%Cash OperatingFlow Margin</w:t>
      </w:r>
    </w:p>
    <w:p>
      <w:pPr>
        <w:spacing w:after="0" w:line="182" w:lineRule="auto"/>
        <w:rPr>
          <w:sz w:val="20"/>
          <w:szCs w:val="20"/>
          <w:color w:val="auto"/>
        </w:rPr>
      </w:pPr>
      <w:r>
        <w:rPr>
          <w:rFonts w:ascii="Arial" w:cs="Arial" w:eastAsia="Arial" w:hAnsi="Arial"/>
          <w:sz w:val="9"/>
          <w:szCs w:val="9"/>
          <w:color w:val="FFFFFF"/>
        </w:rPr>
        <w:t>• Earned based on challenging goals that</w:t>
      </w:r>
    </w:p>
    <w:p>
      <w:pPr>
        <w:spacing w:after="0" w:line="205" w:lineRule="auto"/>
        <w:rPr>
          <w:sz w:val="20"/>
          <w:szCs w:val="20"/>
          <w:color w:val="auto"/>
        </w:rPr>
      </w:pPr>
      <w:r>
        <w:rPr>
          <w:rFonts w:ascii="Arial" w:cs="Arial" w:eastAsia="Arial" w:hAnsi="Arial"/>
          <w:sz w:val="4"/>
          <w:szCs w:val="4"/>
          <w:color w:val="FFFFFF"/>
        </w:rPr>
        <w:t>ContingentPerformanceyearrequireperformancestrongperformanceperiod over three-</w:t>
      </w:r>
    </w:p>
    <w:p>
      <w:pPr>
        <w:spacing w:after="0" w:line="182" w:lineRule="auto"/>
        <w:rPr>
          <w:sz w:val="20"/>
          <w:szCs w:val="20"/>
          <w:color w:val="auto"/>
        </w:rPr>
      </w:pPr>
      <w:r>
        <w:rPr>
          <w:rFonts w:ascii="Arial" w:cs="Arial" w:eastAsia="Arial" w:hAnsi="Arial"/>
          <w:sz w:val="9"/>
          <w:szCs w:val="9"/>
          <w:color w:val="FFFFFF"/>
        </w:rPr>
        <w:t>50%</w:t>
      </w:r>
    </w:p>
    <w:p>
      <w:pPr>
        <w:spacing w:after="0" w:line="182" w:lineRule="auto"/>
        <w:rPr>
          <w:sz w:val="20"/>
          <w:szCs w:val="20"/>
          <w:color w:val="auto"/>
        </w:rPr>
      </w:pPr>
      <w:r>
        <w:rPr>
          <w:rFonts w:ascii="Arial" w:cs="Arial" w:eastAsia="Arial" w:hAnsi="Arial"/>
          <w:sz w:val="9"/>
          <w:szCs w:val="9"/>
          <w:color w:val="FFFFFF"/>
        </w:rPr>
        <w:t>IncentiveLong-TermAwardsStock •• NetEPSrevenue(34%weighting)(33%weighting)</w:t>
      </w:r>
    </w:p>
    <w:p>
      <w:pPr>
        <w:spacing w:after="0" w:line="183" w:lineRule="auto"/>
        <w:rPr>
          <w:sz w:val="20"/>
          <w:szCs w:val="20"/>
          <w:color w:val="auto"/>
        </w:rPr>
      </w:pPr>
      <w:r>
        <w:rPr>
          <w:rFonts w:ascii="Arial" w:cs="Arial" w:eastAsia="Arial" w:hAnsi="Arial"/>
          <w:sz w:val="9"/>
          <w:szCs w:val="9"/>
          <w:color w:val="FFFFFF"/>
        </w:rPr>
        <w:t>Plan•ROIC (33% weighting; new for 2015)</w:t>
      </w:r>
    </w:p>
    <w:p>
      <w:pPr>
        <w:spacing w:after="0" w:line="182" w:lineRule="auto"/>
        <w:rPr>
          <w:sz w:val="20"/>
          <w:szCs w:val="20"/>
          <w:color w:val="auto"/>
        </w:rPr>
      </w:pPr>
      <w:r>
        <w:rPr>
          <w:rFonts w:ascii="Arial" w:cs="Arial" w:eastAsia="Arial" w:hAnsi="Arial"/>
          <w:sz w:val="9"/>
          <w:szCs w:val="9"/>
          <w:color w:val="FFFFFF"/>
        </w:rPr>
        <w:t>50%Stock • 7- year term</w:t>
      </w:r>
    </w:p>
    <w:p>
      <w:pPr>
        <w:spacing w:after="0"/>
        <w:rPr>
          <w:sz w:val="20"/>
          <w:szCs w:val="20"/>
          <w:color w:val="auto"/>
        </w:rPr>
      </w:pPr>
      <w:r>
        <w:rPr>
          <w:rFonts w:ascii="Arial" w:cs="Arial" w:eastAsia="Arial" w:hAnsi="Arial"/>
          <w:sz w:val="13"/>
          <w:szCs w:val="13"/>
          <w:color w:val="FFFFFF"/>
        </w:rPr>
        <w:t>6Options • Vest over a 3-year period</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gridSpan w:val="3"/>
          </w:tcPr>
          <w:p>
            <w:pPr>
              <w:spacing w:after="0"/>
              <w:rPr>
                <w:sz w:val="20"/>
                <w:szCs w:val="20"/>
                <w:color w:val="auto"/>
              </w:rPr>
            </w:pPr>
            <w:r>
              <w:rPr>
                <w:rFonts w:ascii="Arial" w:cs="Arial" w:eastAsia="Arial" w:hAnsi="Arial"/>
                <w:sz w:val="13"/>
                <w:szCs w:val="13"/>
                <w:color w:val="FFFFFF"/>
              </w:rPr>
              <w:t>Experienced Board with Deep Industry Knowledge</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Board refreshment in process, with three new directors appointed in 2014*</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Richard Stoddart</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CEO, Leo Burnett North America</w:t>
            </w:r>
          </w:p>
        </w:tc>
      </w:tr>
      <w:tr>
        <w:trPr>
          <w:trHeight w:val="39"/>
        </w:trPr>
        <w:tc>
          <w:tcPr>
            <w:tcW w:w="840" w:type="dxa"/>
            <w:vAlign w:val="bottom"/>
            <w:gridSpan w:val="2"/>
          </w:tcPr>
          <w:p>
            <w:pPr>
              <w:spacing w:after="0" w:line="40" w:lineRule="exact"/>
              <w:rPr>
                <w:sz w:val="20"/>
                <w:szCs w:val="20"/>
                <w:color w:val="auto"/>
              </w:rPr>
            </w:pPr>
            <w:r>
              <w:rPr>
                <w:rFonts w:ascii="Arial" w:cs="Arial" w:eastAsia="Arial" w:hAnsi="Arial"/>
                <w:sz w:val="4"/>
                <w:szCs w:val="4"/>
                <w:color w:val="FFFFFF"/>
              </w:rPr>
              <w:t>Joined Board</w:t>
            </w:r>
          </w:p>
        </w:tc>
        <w:tc>
          <w:tcPr>
            <w:tcW w:w="4340" w:type="dxa"/>
            <w:vAlign w:val="bottom"/>
          </w:tcPr>
          <w:p>
            <w:pPr>
              <w:ind w:left="20"/>
              <w:spacing w:after="0" w:line="40" w:lineRule="exact"/>
              <w:rPr>
                <w:sz w:val="20"/>
                <w:szCs w:val="20"/>
                <w:color w:val="auto"/>
              </w:rPr>
            </w:pPr>
            <w:r>
              <w:rPr>
                <w:rFonts w:ascii="Arial" w:cs="Arial" w:eastAsia="Arial" w:hAnsi="Arial"/>
                <w:sz w:val="4"/>
                <w:szCs w:val="4"/>
                <w:color w:val="FFFFFF"/>
              </w:rPr>
              <w:t>March 2014</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Extensive marketing &amp; communications experience, including digital advertising and social media</w:t>
            </w:r>
          </w:p>
        </w:tc>
      </w:tr>
      <w:tr>
        <w:trPr>
          <w:trHeight w:val="39"/>
        </w:trPr>
        <w:tc>
          <w:tcPr>
            <w:tcW w:w="840" w:type="dxa"/>
            <w:vAlign w:val="bottom"/>
            <w:gridSpan w:val="2"/>
          </w:tcPr>
          <w:p>
            <w:pPr>
              <w:spacing w:after="0" w:line="40" w:lineRule="exact"/>
              <w:rPr>
                <w:sz w:val="20"/>
                <w:szCs w:val="20"/>
                <w:color w:val="auto"/>
              </w:rPr>
            </w:pPr>
            <w:r>
              <w:rPr>
                <w:rFonts w:ascii="Arial" w:cs="Arial" w:eastAsia="Arial" w:hAnsi="Arial"/>
                <w:sz w:val="4"/>
                <w:szCs w:val="4"/>
                <w:color w:val="FFFFFF"/>
              </w:rPr>
              <w:t>Linda Zecher</w:t>
            </w:r>
          </w:p>
        </w:tc>
        <w:tc>
          <w:tcPr>
            <w:tcW w:w="4340" w:type="dxa"/>
            <w:vAlign w:val="bottom"/>
          </w:tcPr>
          <w:p>
            <w:pPr>
              <w:spacing w:after="0"/>
              <w:rPr>
                <w:sz w:val="3"/>
                <w:szCs w:val="3"/>
                <w:color w:val="auto"/>
              </w:rPr>
            </w:pP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CEO, Houghton Mifflin Harcourt</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Joined Board in October 2014</w:t>
            </w:r>
          </w:p>
        </w:tc>
      </w:tr>
      <w:tr>
        <w:trPr>
          <w:trHeight w:val="39"/>
        </w:trPr>
        <w:tc>
          <w:tcPr>
            <w:tcW w:w="840" w:type="dxa"/>
            <w:vAlign w:val="bottom"/>
            <w:gridSpan w:val="2"/>
          </w:tcPr>
          <w:p>
            <w:pPr>
              <w:spacing w:after="0" w:line="40" w:lineRule="exact"/>
              <w:rPr>
                <w:sz w:val="20"/>
                <w:szCs w:val="20"/>
                <w:color w:val="auto"/>
              </w:rPr>
            </w:pPr>
            <w:r>
              <w:rPr>
                <w:rFonts w:ascii="Arial" w:cs="Arial" w:eastAsia="Arial" w:hAnsi="Arial"/>
                <w:sz w:val="4"/>
                <w:szCs w:val="4"/>
                <w:color w:val="FFFFFF"/>
              </w:rPr>
              <w:t>Leading HMH’</w:t>
            </w:r>
          </w:p>
        </w:tc>
        <w:tc>
          <w:tcPr>
            <w:tcW w:w="4340" w:type="dxa"/>
            <w:vAlign w:val="bottom"/>
          </w:tcPr>
          <w:p>
            <w:pPr>
              <w:ind w:left="60"/>
              <w:spacing w:after="0" w:line="40" w:lineRule="exact"/>
              <w:rPr>
                <w:sz w:val="20"/>
                <w:szCs w:val="20"/>
                <w:color w:val="auto"/>
              </w:rPr>
            </w:pPr>
            <w:r>
              <w:rPr>
                <w:rFonts w:ascii="Arial" w:cs="Arial" w:eastAsia="Arial" w:hAnsi="Arial"/>
                <w:sz w:val="4"/>
                <w:szCs w:val="4"/>
                <w:color w:val="FFFFFF"/>
              </w:rPr>
              <w:t>transformation to a digitally-focused learning and content company</w:t>
            </w:r>
          </w:p>
        </w:tc>
      </w:tr>
      <w:tr>
        <w:trPr>
          <w:trHeight w:val="39"/>
        </w:trPr>
        <w:tc>
          <w:tcPr>
            <w:tcW w:w="80" w:type="dxa"/>
            <w:vAlign w:val="bottom"/>
          </w:tcPr>
          <w:p>
            <w:pPr>
              <w:spacing w:after="0"/>
              <w:rPr>
                <w:sz w:val="3"/>
                <w:szCs w:val="3"/>
                <w:color w:val="auto"/>
              </w:rPr>
            </w:pPr>
          </w:p>
        </w:tc>
        <w:tc>
          <w:tcPr>
            <w:tcW w:w="5100" w:type="dxa"/>
            <w:vAlign w:val="bottom"/>
            <w:gridSpan w:val="2"/>
          </w:tcPr>
          <w:p>
            <w:pPr>
              <w:ind w:left="620"/>
              <w:spacing w:after="0" w:line="40" w:lineRule="exact"/>
              <w:rPr>
                <w:sz w:val="20"/>
                <w:szCs w:val="20"/>
                <w:color w:val="auto"/>
              </w:rPr>
            </w:pPr>
            <w:r>
              <w:rPr>
                <w:rFonts w:ascii="Arial" w:cs="Arial" w:eastAsia="Arial" w:hAnsi="Arial"/>
                <w:sz w:val="4"/>
                <w:szCs w:val="4"/>
                <w:color w:val="FFFFFF"/>
              </w:rPr>
              <w:t>business experience</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InternationalPreviously senior executive at Microsoft</w:t>
            </w:r>
          </w:p>
        </w:tc>
      </w:tr>
      <w:tr>
        <w:trPr>
          <w:trHeight w:val="39"/>
        </w:trPr>
        <w:tc>
          <w:tcPr>
            <w:tcW w:w="840" w:type="dxa"/>
            <w:vAlign w:val="bottom"/>
            <w:gridSpan w:val="2"/>
          </w:tcPr>
          <w:p>
            <w:pPr>
              <w:spacing w:after="0" w:line="40" w:lineRule="exact"/>
              <w:rPr>
                <w:sz w:val="20"/>
                <w:szCs w:val="20"/>
                <w:color w:val="auto"/>
              </w:rPr>
            </w:pPr>
            <w:r>
              <w:rPr>
                <w:rFonts w:ascii="Arial" w:cs="Arial" w:eastAsia="Arial" w:hAnsi="Arial"/>
                <w:sz w:val="4"/>
                <w:szCs w:val="4"/>
                <w:color w:val="FFFFFF"/>
              </w:rPr>
              <w:t>Michael Burns</w:t>
            </w:r>
          </w:p>
        </w:tc>
        <w:tc>
          <w:tcPr>
            <w:tcW w:w="4340" w:type="dxa"/>
            <w:vAlign w:val="bottom"/>
          </w:tcPr>
          <w:p>
            <w:pPr>
              <w:spacing w:after="0"/>
              <w:rPr>
                <w:sz w:val="3"/>
                <w:szCs w:val="3"/>
                <w:color w:val="auto"/>
              </w:rPr>
            </w:pP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Vice Chairman, Lionsgate</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Joi ed Board in December 2014</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Contributes substantial media expertise, as well as financial acumen and operational experience</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Significant experience in motion picture and television production and distribution</w:t>
            </w:r>
          </w:p>
        </w:tc>
      </w:tr>
      <w:tr>
        <w:trPr>
          <w:trHeight w:val="39"/>
        </w:trPr>
        <w:tc>
          <w:tcPr>
            <w:tcW w:w="5180" w:type="dxa"/>
            <w:vAlign w:val="bottom"/>
            <w:gridSpan w:val="3"/>
          </w:tcPr>
          <w:p>
            <w:pPr>
              <w:spacing w:after="0" w:line="40" w:lineRule="exact"/>
              <w:rPr>
                <w:sz w:val="20"/>
                <w:szCs w:val="20"/>
                <w:color w:val="auto"/>
              </w:rPr>
            </w:pPr>
            <w:r>
              <w:rPr>
                <w:rFonts w:ascii="Arial" w:cs="Arial" w:eastAsia="Arial" w:hAnsi="Arial"/>
                <w:sz w:val="4"/>
                <w:szCs w:val="4"/>
                <w:color w:val="FFFFFF"/>
              </w:rPr>
              <w:t>Balanced Tenure Strong Independent Leadership Diverse Perspectives</w:t>
            </w:r>
          </w:p>
        </w:tc>
      </w:tr>
      <w:tr>
        <w:trPr>
          <w:trHeight w:val="39"/>
        </w:trPr>
        <w:tc>
          <w:tcPr>
            <w:tcW w:w="840" w:type="dxa"/>
            <w:vAlign w:val="bottom"/>
            <w:gridSpan w:val="2"/>
          </w:tcPr>
          <w:p>
            <w:pPr>
              <w:spacing w:after="0" w:line="40" w:lineRule="exact"/>
              <w:rPr>
                <w:sz w:val="20"/>
                <w:szCs w:val="20"/>
                <w:color w:val="auto"/>
              </w:rPr>
            </w:pPr>
            <w:r>
              <w:rPr>
                <w:rFonts w:ascii="Arial" w:cs="Arial" w:eastAsia="Arial" w:hAnsi="Arial"/>
                <w:sz w:val="4"/>
                <w:szCs w:val="4"/>
                <w:color w:val="FFFFFF"/>
              </w:rPr>
              <w:t>Insider</w:t>
            </w:r>
          </w:p>
        </w:tc>
        <w:tc>
          <w:tcPr>
            <w:tcW w:w="4340" w:type="dxa"/>
            <w:vAlign w:val="bottom"/>
          </w:tcPr>
          <w:p>
            <w:pPr>
              <w:spacing w:after="0"/>
              <w:rPr>
                <w:sz w:val="3"/>
                <w:szCs w:val="3"/>
                <w:color w:val="auto"/>
              </w:rPr>
            </w:pPr>
          </w:p>
        </w:tc>
      </w:tr>
      <w:tr>
        <w:trPr>
          <w:trHeight w:val="39"/>
        </w:trPr>
        <w:tc>
          <w:tcPr>
            <w:tcW w:w="840" w:type="dxa"/>
            <w:vAlign w:val="bottom"/>
            <w:gridSpan w:val="2"/>
          </w:tcPr>
          <w:p>
            <w:pPr>
              <w:spacing w:after="0" w:line="40" w:lineRule="exact"/>
              <w:rPr>
                <w:sz w:val="20"/>
                <w:szCs w:val="20"/>
                <w:color w:val="auto"/>
              </w:rPr>
            </w:pPr>
            <w:r>
              <w:rPr>
                <w:rFonts w:ascii="Arial" w:cs="Arial" w:eastAsia="Arial" w:hAnsi="Arial"/>
                <w:sz w:val="4"/>
                <w:szCs w:val="4"/>
                <w:color w:val="FFFFFF"/>
              </w:rPr>
              <w:t>1 Director</w:t>
            </w:r>
          </w:p>
        </w:tc>
        <w:tc>
          <w:tcPr>
            <w:tcW w:w="4340" w:type="dxa"/>
            <w:vAlign w:val="bottom"/>
          </w:tcPr>
          <w:p>
            <w:pPr>
              <w:spacing w:after="0"/>
              <w:rPr>
                <w:sz w:val="3"/>
                <w:szCs w:val="3"/>
                <w:color w:val="auto"/>
              </w:rPr>
            </w:pPr>
          </w:p>
        </w:tc>
      </w:tr>
      <w:tr>
        <w:trPr>
          <w:trHeight w:val="1"/>
        </w:trPr>
        <w:tc>
          <w:tcPr>
            <w:tcW w:w="80" w:type="dxa"/>
            <w:vAlign w:val="bottom"/>
          </w:tcPr>
          <w:p>
            <w:pPr>
              <w:spacing w:after="0" w:line="2" w:lineRule="exact"/>
              <w:rPr>
                <w:sz w:val="20"/>
                <w:szCs w:val="20"/>
                <w:color w:val="auto"/>
              </w:rPr>
            </w:pPr>
            <w:r>
              <w:rPr>
                <w:rFonts w:ascii="Arial" w:cs="Arial" w:eastAsia="Arial" w:hAnsi="Arial"/>
                <w:sz w:val="1"/>
                <w:szCs w:val="1"/>
                <w:color w:val="FFFFFF"/>
              </w:rPr>
              <w:t>4</w:t>
            </w:r>
          </w:p>
        </w:tc>
        <w:tc>
          <w:tcPr>
            <w:tcW w:w="760" w:type="dxa"/>
            <w:vAlign w:val="bottom"/>
          </w:tcPr>
          <w:p>
            <w:pPr>
              <w:jc w:val="right"/>
              <w:ind w:right="666"/>
              <w:spacing w:after="0" w:line="2" w:lineRule="exact"/>
              <w:rPr>
                <w:sz w:val="20"/>
                <w:szCs w:val="20"/>
                <w:color w:val="auto"/>
              </w:rPr>
            </w:pPr>
            <w:r>
              <w:rPr>
                <w:rFonts w:ascii="Arial" w:cs="Arial" w:eastAsia="Arial" w:hAnsi="Arial"/>
                <w:sz w:val="1"/>
                <w:szCs w:val="1"/>
                <w:color w:val="FFFFFF"/>
              </w:rPr>
              <w:t>4</w:t>
            </w:r>
          </w:p>
        </w:tc>
        <w:tc>
          <w:tcPr>
            <w:tcW w:w="4340" w:type="dxa"/>
            <w:vAlign w:val="bottom"/>
          </w:tcPr>
          <w:p>
            <w:pPr>
              <w:spacing w:after="0" w:line="20" w:lineRule="exact"/>
              <w:rPr>
                <w:sz w:val="1"/>
                <w:szCs w:val="1"/>
                <w:color w:val="auto"/>
              </w:rPr>
            </w:pPr>
          </w:p>
        </w:tc>
      </w:tr>
    </w:tbl>
    <w:p>
      <w:pPr>
        <w:spacing w:after="0" w:line="204" w:lineRule="auto"/>
        <w:rPr>
          <w:sz w:val="20"/>
          <w:szCs w:val="20"/>
          <w:color w:val="auto"/>
        </w:rPr>
      </w:pPr>
      <w:r>
        <w:rPr>
          <w:rFonts w:ascii="Arial" w:cs="Arial" w:eastAsia="Arial" w:hAnsi="Arial"/>
          <w:sz w:val="4"/>
          <w:szCs w:val="4"/>
          <w:color w:val="FFFFFF"/>
        </w:rPr>
        <w:t>3</w:t>
      </w:r>
    </w:p>
    <w:p>
      <w:pPr>
        <w:spacing w:after="0" w:line="182" w:lineRule="auto"/>
        <w:rPr>
          <w:sz w:val="20"/>
          <w:szCs w:val="20"/>
          <w:color w:val="auto"/>
        </w:rPr>
      </w:pPr>
      <w:r>
        <w:rPr>
          <w:rFonts w:ascii="Arial" w:cs="Arial" w:eastAsia="Arial" w:hAnsi="Arial"/>
          <w:sz w:val="9"/>
          <w:szCs w:val="9"/>
          <w:color w:val="FFFFFF"/>
        </w:rPr>
        <w:t>&lt; 5 years 6—10 years &gt; 10 years</w:t>
      </w:r>
    </w:p>
    <w:p>
      <w:pPr>
        <w:spacing w:after="0" w:line="182" w:lineRule="auto"/>
        <w:rPr>
          <w:sz w:val="20"/>
          <w:szCs w:val="20"/>
          <w:color w:val="auto"/>
        </w:rPr>
      </w:pPr>
      <w:r>
        <w:rPr>
          <w:rFonts w:ascii="Arial" w:cs="Arial" w:eastAsia="Arial" w:hAnsi="Arial"/>
          <w:sz w:val="9"/>
          <w:szCs w:val="9"/>
          <w:color w:val="FFFFFF"/>
        </w:rPr>
        <w:t>Insider*Databased on Board slate up for election at 2015 annual meeting</w:t>
      </w:r>
    </w:p>
    <w:p>
      <w:pPr>
        <w:spacing w:after="0" w:line="183" w:lineRule="auto"/>
        <w:rPr>
          <w:sz w:val="20"/>
          <w:szCs w:val="20"/>
          <w:color w:val="auto"/>
        </w:rPr>
      </w:pPr>
      <w:r>
        <w:rPr>
          <w:rFonts w:ascii="Arial" w:cs="Arial" w:eastAsia="Arial" w:hAnsi="Arial"/>
          <w:sz w:val="9"/>
          <w:szCs w:val="9"/>
          <w:color w:val="FFFFFF"/>
        </w:rPr>
        <w:t>Female1Director</w:t>
      </w:r>
    </w:p>
    <w:p>
      <w:pPr>
        <w:spacing w:after="0" w:line="205" w:lineRule="auto"/>
        <w:rPr>
          <w:sz w:val="20"/>
          <w:szCs w:val="20"/>
          <w:color w:val="auto"/>
        </w:rPr>
      </w:pPr>
      <w:r>
        <w:rPr>
          <w:rFonts w:ascii="Arial" w:cs="Arial" w:eastAsia="Arial" w:hAnsi="Arial"/>
          <w:sz w:val="4"/>
          <w:szCs w:val="4"/>
          <w:color w:val="FFFFFF"/>
        </w:rPr>
        <w:t>Independent3Directors Male</w:t>
      </w:r>
    </w:p>
    <w:p>
      <w:pPr>
        <w:spacing w:after="0"/>
        <w:rPr>
          <w:sz w:val="20"/>
          <w:szCs w:val="20"/>
          <w:color w:val="auto"/>
        </w:rPr>
      </w:pPr>
      <w:r>
        <w:rPr>
          <w:rFonts w:ascii="Arial" w:cs="Arial" w:eastAsia="Arial" w:hAnsi="Arial"/>
          <w:sz w:val="13"/>
          <w:szCs w:val="13"/>
          <w:color w:val="FFFFFF"/>
        </w:rPr>
        <w:t>10 Directors 8 Directors</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60" w:type="dxa"/>
            <w:vAlign w:val="bottom"/>
            <w:gridSpan w:val="2"/>
          </w:tcPr>
          <w:p>
            <w:pPr>
              <w:spacing w:after="0"/>
              <w:rPr>
                <w:sz w:val="20"/>
                <w:szCs w:val="20"/>
                <w:color w:val="auto"/>
              </w:rPr>
            </w:pPr>
            <w:r>
              <w:rPr>
                <w:rFonts w:ascii="Arial" w:cs="Arial" w:eastAsia="Arial" w:hAnsi="Arial"/>
                <w:sz w:val="13"/>
                <w:szCs w:val="13"/>
                <w:color w:val="FFFFFF"/>
              </w:rPr>
              <w:t>Strong Corporate Governance Practices and Robust Independent Oversight of Management</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All directors elected annually under majority vote standard</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Lead Independent Director, with clearly defined, robust responsibilities</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Mandatory director stock ownership (5x retainer)</w:t>
            </w: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Strong</w:t>
            </w:r>
          </w:p>
        </w:tc>
        <w:tc>
          <w:tcPr>
            <w:tcW w:w="8440" w:type="dxa"/>
            <w:vAlign w:val="bottom"/>
          </w:tcPr>
          <w:p>
            <w:pPr>
              <w:ind w:left="120"/>
              <w:spacing w:after="0" w:line="40" w:lineRule="exact"/>
              <w:rPr>
                <w:sz w:val="20"/>
                <w:szCs w:val="20"/>
                <w:color w:val="auto"/>
              </w:rPr>
            </w:pPr>
            <w:r>
              <w:rPr>
                <w:rFonts w:ascii="Arial" w:cs="Arial" w:eastAsia="Arial" w:hAnsi="Arial"/>
                <w:sz w:val="4"/>
                <w:szCs w:val="4"/>
                <w:color w:val="FFFFFF"/>
              </w:rPr>
              <w:t>policy ( ? 3 other public boards; ? 1 other public board for sitting CEOs)</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Careful“overboarding”succession planning and annual board and committee self-assessments</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In-depth annual Board review of management succession plans</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History of substantive engagement and dialogue with shareholders</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Longstanding commitment to and board leadership on corporate social responsibility</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Board Leadership Changes</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Our long-time Chairman and former CEO, Alfred Verrecchia, is retiring as of the 2015 annual meeting</w:t>
            </w:r>
          </w:p>
        </w:tc>
      </w:tr>
      <w:tr>
        <w:trPr>
          <w:trHeight w:val="39"/>
        </w:trPr>
        <w:tc>
          <w:tcPr>
            <w:tcW w:w="1120" w:type="dxa"/>
            <w:vAlign w:val="bottom"/>
          </w:tcPr>
          <w:p>
            <w:pPr>
              <w:spacing w:after="0"/>
              <w:rPr>
                <w:sz w:val="3"/>
                <w:szCs w:val="3"/>
                <w:color w:val="auto"/>
              </w:rPr>
            </w:pPr>
          </w:p>
        </w:tc>
        <w:tc>
          <w:tcPr>
            <w:tcW w:w="8440" w:type="dxa"/>
            <w:vAlign w:val="bottom"/>
          </w:tcPr>
          <w:p>
            <w:pPr>
              <w:ind w:left="20"/>
              <w:spacing w:after="0" w:line="40" w:lineRule="exact"/>
              <w:rPr>
                <w:sz w:val="20"/>
                <w:szCs w:val="20"/>
                <w:color w:val="auto"/>
              </w:rPr>
            </w:pPr>
            <w:r>
              <w:rPr>
                <w:rFonts w:ascii="Arial" w:cs="Arial" w:eastAsia="Arial" w:hAnsi="Arial"/>
                <w:sz w:val="4"/>
                <w:szCs w:val="4"/>
                <w:color w:val="FFFFFF"/>
              </w:rPr>
              <w:t>CEO Brian Goldner as Chairman (effective as of 2015 annual meeting)</w:t>
            </w:r>
          </w:p>
        </w:tc>
      </w:tr>
      <w:tr>
        <w:trPr>
          <w:trHeight w:val="39"/>
        </w:trPr>
        <w:tc>
          <w:tcPr>
            <w:tcW w:w="9560" w:type="dxa"/>
            <w:vAlign w:val="bottom"/>
            <w:gridSpan w:val="2"/>
          </w:tcPr>
          <w:p>
            <w:pPr>
              <w:spacing w:after="0" w:line="40" w:lineRule="exact"/>
              <w:rPr>
                <w:sz w:val="20"/>
                <w:szCs w:val="20"/>
                <w:color w:val="auto"/>
              </w:rPr>
            </w:pPr>
            <w:r>
              <w:rPr>
                <w:rFonts w:ascii="Arial" w:cs="Arial" w:eastAsia="Arial" w:hAnsi="Arial"/>
                <w:sz w:val="4"/>
                <w:szCs w:val="4"/>
                <w:color w:val="FFFFFF"/>
              </w:rPr>
              <w:t>The Board created  robust Lead Independent Director position and appointed Basil Anderson to that role</w:t>
            </w:r>
          </w:p>
        </w:tc>
      </w:tr>
      <w:tr>
        <w:trPr>
          <w:trHeight w:val="0"/>
        </w:trPr>
        <w:tc>
          <w:tcPr>
            <w:tcW w:w="1120" w:type="dxa"/>
            <w:vAlign w:val="bottom"/>
          </w:tcPr>
          <w:p>
            <w:pPr>
              <w:ind w:left="600"/>
              <w:spacing w:after="0" w:line="78" w:lineRule="exact"/>
              <w:rPr>
                <w:sz w:val="20"/>
                <w:szCs w:val="20"/>
                <w:color w:val="auto"/>
              </w:rPr>
            </w:pPr>
            <w:r>
              <w:rPr>
                <w:rFonts w:ascii="Arial" w:cs="Arial" w:eastAsia="Arial" w:hAnsi="Arial"/>
                <w:sz w:val="8"/>
                <w:szCs w:val="8"/>
                <w:color w:val="FFFFFF"/>
              </w:rPr>
              <w:t>appointed</w:t>
            </w:r>
          </w:p>
        </w:tc>
        <w:tc>
          <w:tcPr>
            <w:tcW w:w="8440" w:type="dxa"/>
            <w:vAlign w:val="bottom"/>
          </w:tcPr>
          <w:p>
            <w:pPr>
              <w:ind w:left="440"/>
              <w:spacing w:after="0" w:line="78" w:lineRule="exact"/>
              <w:rPr>
                <w:sz w:val="20"/>
                <w:szCs w:val="20"/>
                <w:color w:val="auto"/>
              </w:rPr>
            </w:pPr>
            <w:r>
              <w:rPr>
                <w:rFonts w:ascii="Arial" w:cs="Arial" w:eastAsia="Arial" w:hAnsi="Arial"/>
                <w:sz w:val="8"/>
                <w:szCs w:val="8"/>
                <w:color w:val="FFFFFF"/>
              </w:rPr>
              <w:t>of experience in corporate governance, finance, and strategic planning including as former Vice Chairman of Staples and former CFO of Campbell Soup</w:t>
            </w:r>
          </w:p>
        </w:tc>
      </w:tr>
    </w:tbl>
    <w:p>
      <w:pPr>
        <w:spacing w:after="0" w:line="24" w:lineRule="auto"/>
        <w:tabs>
          <w:tab w:leader="none" w:pos="1120" w:val="left"/>
        </w:tabs>
        <w:rPr>
          <w:sz w:val="20"/>
          <w:szCs w:val="20"/>
          <w:color w:val="auto"/>
        </w:rPr>
      </w:pPr>
      <w:r>
        <w:rPr>
          <w:rFonts w:ascii="Arial" w:cs="Arial" w:eastAsia="Arial" w:hAnsi="Arial"/>
          <w:sz w:val="1"/>
          <w:szCs w:val="1"/>
          <w:color w:val="FFFFFF"/>
          <w:vertAlign w:val="superscript"/>
        </w:rPr>
        <w:t>-</w:t>
      </w:r>
      <w:r>
        <w:rPr>
          <w:rFonts w:ascii="Arial" w:cs="Arial" w:eastAsia="Arial" w:hAnsi="Arial"/>
          <w:sz w:val="1"/>
          <w:szCs w:val="1"/>
          <w:color w:val="FFFFFF"/>
        </w:rPr>
        <w:t xml:space="preserve"> Mr. Anderson has</w:t>
      </w:r>
      <w:r>
        <w:rPr>
          <w:sz w:val="20"/>
          <w:szCs w:val="20"/>
          <w:color w:val="auto"/>
        </w:rPr>
        <w:tab/>
      </w:r>
      <w:r>
        <w:rPr>
          <w:rFonts w:ascii="Arial" w:cs="Arial" w:eastAsia="Arial" w:hAnsi="Arial"/>
          <w:sz w:val="1"/>
          <w:szCs w:val="1"/>
          <w:color w:val="FFFFFF"/>
        </w:rPr>
        <w:t>breadth</w:t>
      </w:r>
    </w:p>
    <w:p>
      <w:pPr>
        <w:ind w:left="80"/>
        <w:spacing w:after="0" w:line="182" w:lineRule="auto"/>
        <w:rPr>
          <w:sz w:val="20"/>
          <w:szCs w:val="20"/>
          <w:color w:val="auto"/>
        </w:rPr>
      </w:pPr>
      <w:r>
        <w:rPr>
          <w:rFonts w:ascii="Arial" w:cs="Arial" w:eastAsia="Arial" w:hAnsi="Arial"/>
          <w:sz w:val="9"/>
          <w:szCs w:val="9"/>
          <w:color w:val="FFFFFF"/>
        </w:rPr>
        <w:t>Lead Independent beenDirectorkeydutiesparticipantinclude:in Hasbro’s shareholder outreach program</w:t>
      </w:r>
    </w:p>
    <w:p>
      <w:pPr>
        <w:spacing w:after="0" w:line="205" w:lineRule="auto"/>
        <w:rPr>
          <w:sz w:val="20"/>
          <w:szCs w:val="20"/>
          <w:color w:val="auto"/>
        </w:rPr>
      </w:pPr>
      <w:r>
        <w:rPr>
          <w:rFonts w:ascii="Arial" w:cs="Arial" w:eastAsia="Arial" w:hAnsi="Arial"/>
          <w:sz w:val="2"/>
          <w:szCs w:val="2"/>
          <w:color w:val="FFFFFF"/>
        </w:rPr>
        <w:t>Reviewing and approving materials</w:t>
      </w:r>
      <w:r>
        <w:rPr>
          <w:rFonts w:ascii="Arial" w:cs="Arial" w:eastAsia="Arial" w:hAnsi="Arial"/>
          <w:sz w:val="4"/>
          <w:szCs w:val="4"/>
          <w:color w:val="FFFFFF"/>
          <w:vertAlign w:val="superscript"/>
        </w:rPr>
        <w:t>eetingagendas</w:t>
      </w:r>
      <w:r>
        <w:rPr>
          <w:rFonts w:ascii="Arial" w:cs="Arial" w:eastAsia="Arial" w:hAnsi="Arial"/>
          <w:sz w:val="2"/>
          <w:szCs w:val="2"/>
          <w:color w:val="FFFFFF"/>
        </w:rPr>
        <w:t>sentto the</w:t>
      </w:r>
      <w:r>
        <w:rPr>
          <w:rFonts w:ascii="Arial" w:cs="Arial" w:eastAsia="Arial" w:hAnsi="Arial"/>
          <w:sz w:val="4"/>
          <w:szCs w:val="4"/>
          <w:color w:val="FFFFFF"/>
          <w:vertAlign w:val="superscript"/>
        </w:rPr>
        <w:t>and</w:t>
      </w:r>
      <w:r>
        <w:rPr>
          <w:rFonts w:ascii="Arial" w:cs="Arial" w:eastAsia="Arial" w:hAnsi="Arial"/>
          <w:sz w:val="2"/>
          <w:szCs w:val="2"/>
          <w:color w:val="FFFFFF"/>
        </w:rPr>
        <w:t>Board</w:t>
      </w:r>
      <w:r>
        <w:rPr>
          <w:rFonts w:ascii="Arial" w:cs="Arial" w:eastAsia="Arial" w:hAnsi="Arial"/>
          <w:sz w:val="4"/>
          <w:szCs w:val="4"/>
          <w:color w:val="FFFFFF"/>
          <w:vertAlign w:val="superscript"/>
        </w:rPr>
        <w:t>schedules</w:t>
      </w:r>
    </w:p>
    <w:p>
      <w:pPr>
        <w:spacing w:after="0" w:line="205" w:lineRule="auto"/>
        <w:rPr>
          <w:sz w:val="20"/>
          <w:szCs w:val="20"/>
          <w:color w:val="auto"/>
        </w:rPr>
      </w:pPr>
      <w:r>
        <w:rPr>
          <w:rFonts w:ascii="Arial" w:cs="Arial" w:eastAsia="Arial" w:hAnsi="Arial"/>
          <w:sz w:val="4"/>
          <w:szCs w:val="4"/>
          <w:color w:val="FFFFFF"/>
        </w:rPr>
        <w:t>Advising management on quantity, quality and timeliness of information provided to the Board</w:t>
      </w:r>
    </w:p>
    <w:p>
      <w:pPr>
        <w:spacing w:after="0" w:line="205" w:lineRule="auto"/>
        <w:rPr>
          <w:sz w:val="20"/>
          <w:szCs w:val="20"/>
          <w:color w:val="auto"/>
        </w:rPr>
      </w:pPr>
      <w:r>
        <w:rPr>
          <w:rFonts w:ascii="Arial" w:cs="Arial" w:eastAsia="Arial" w:hAnsi="Arial"/>
          <w:sz w:val="4"/>
          <w:szCs w:val="4"/>
          <w:color w:val="FFFFFF"/>
        </w:rPr>
        <w:t>Serving as liaison to shareholders and other stakeholders</w:t>
      </w:r>
    </w:p>
    <w:p>
      <w:pPr>
        <w:spacing w:after="0"/>
        <w:rPr>
          <w:sz w:val="20"/>
          <w:szCs w:val="20"/>
          <w:color w:val="auto"/>
        </w:rPr>
      </w:pPr>
      <w:r>
        <w:rPr>
          <w:rFonts w:ascii="Arial" w:cs="Arial" w:eastAsia="Arial" w:hAnsi="Arial"/>
          <w:sz w:val="13"/>
          <w:szCs w:val="13"/>
          <w:color w:val="FFFFFF"/>
        </w:rPr>
        <w:t>The Board believes the combination of these roles with proven leaders positions Hasbro well for future success</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gridSpan w:val="4"/>
          </w:tcPr>
          <w:p>
            <w:pPr>
              <w:spacing w:after="0"/>
              <w:rPr>
                <w:sz w:val="20"/>
                <w:szCs w:val="20"/>
                <w:color w:val="auto"/>
              </w:rPr>
            </w:pPr>
            <w:r>
              <w:rPr>
                <w:rFonts w:ascii="Arial" w:cs="Arial" w:eastAsia="Arial" w:hAnsi="Arial"/>
                <w:sz w:val="13"/>
                <w:szCs w:val="13"/>
                <w:color w:val="FFFFFF"/>
                <w:w w:val="99"/>
              </w:rPr>
              <w:t>The Board Recommends a Vote AGAINST Three Shareholder Proposals</w:t>
            </w:r>
          </w:p>
        </w:tc>
        <w:tc>
          <w:tcPr>
            <w:tcW w:w="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820" w:type="dxa"/>
            <w:vAlign w:val="bottom"/>
            <w:gridSpan w:val="2"/>
          </w:tcPr>
          <w:p>
            <w:pPr>
              <w:spacing w:after="0" w:line="40" w:lineRule="exact"/>
              <w:rPr>
                <w:sz w:val="20"/>
                <w:szCs w:val="20"/>
                <w:color w:val="auto"/>
              </w:rPr>
            </w:pPr>
            <w:r>
              <w:rPr>
                <w:rFonts w:ascii="Arial" w:cs="Arial" w:eastAsia="Arial" w:hAnsi="Arial"/>
                <w:sz w:val="4"/>
                <w:szCs w:val="4"/>
                <w:color w:val="FFFFFF"/>
              </w:rPr>
              <w:t>Proxy Access – Prop. #4</w:t>
            </w:r>
          </w:p>
        </w:tc>
        <w:tc>
          <w:tcPr>
            <w:tcW w:w="1480" w:type="dxa"/>
            <w:vAlign w:val="bottom"/>
          </w:tcPr>
          <w:p>
            <w:pPr>
              <w:spacing w:after="0"/>
              <w:rPr>
                <w:sz w:val="3"/>
                <w:szCs w:val="3"/>
                <w:color w:val="auto"/>
              </w:rPr>
            </w:pPr>
          </w:p>
        </w:tc>
        <w:tc>
          <w:tcPr>
            <w:tcW w:w="1380" w:type="dxa"/>
            <w:vAlign w:val="bottom"/>
            <w:gridSpan w:val="2"/>
            <w:vMerge w:val="restart"/>
          </w:tcPr>
          <w:p>
            <w:pPr>
              <w:ind w:left="360"/>
              <w:spacing w:after="0" w:line="79" w:lineRule="exact"/>
              <w:rPr>
                <w:sz w:val="20"/>
                <w:szCs w:val="20"/>
                <w:color w:val="auto"/>
              </w:rPr>
            </w:pPr>
            <w:r>
              <w:rPr>
                <w:rFonts w:ascii="Arial" w:cs="Arial" w:eastAsia="Arial" w:hAnsi="Arial"/>
                <w:sz w:val="9"/>
                <w:szCs w:val="9"/>
                <w:color w:val="FFFFFF"/>
              </w:rPr>
              <w:t>s shareholders</w:t>
            </w:r>
          </w:p>
        </w:tc>
        <w:tc>
          <w:tcPr>
            <w:tcW w:w="136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3"/>
          </w:tcPr>
          <w:p>
            <w:pPr>
              <w:spacing w:after="0" w:line="40" w:lineRule="exact"/>
              <w:rPr>
                <w:sz w:val="20"/>
                <w:szCs w:val="20"/>
                <w:color w:val="auto"/>
              </w:rPr>
            </w:pPr>
            <w:r>
              <w:rPr>
                <w:rFonts w:ascii="Arial" w:cs="Arial" w:eastAsia="Arial" w:hAnsi="Arial"/>
                <w:sz w:val="4"/>
                <w:szCs w:val="4"/>
                <w:color w:val="FFFFFF"/>
              </w:rPr>
              <w:t>The Board believes the Proposal is not in the best interests of</w:t>
            </w:r>
          </w:p>
        </w:tc>
        <w:tc>
          <w:tcPr>
            <w:tcW w:w="1380" w:type="dxa"/>
            <w:vAlign w:val="bottom"/>
            <w:gridSpan w:val="2"/>
            <w:vMerge w:val="continue"/>
          </w:tcPr>
          <w:p>
            <w:pPr>
              <w:spacing w:after="0"/>
              <w:rPr>
                <w:sz w:val="3"/>
                <w:szCs w:val="3"/>
                <w:color w:val="auto"/>
              </w:rPr>
            </w:pPr>
          </w:p>
        </w:tc>
        <w:tc>
          <w:tcPr>
            <w:tcW w:w="136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60" w:type="dxa"/>
            <w:vAlign w:val="bottom"/>
            <w:gridSpan w:val="7"/>
          </w:tcPr>
          <w:p>
            <w:pPr>
              <w:spacing w:after="0" w:line="40" w:lineRule="exact"/>
              <w:rPr>
                <w:sz w:val="20"/>
                <w:szCs w:val="20"/>
                <w:color w:val="auto"/>
              </w:rPr>
            </w:pPr>
            <w:r>
              <w:rPr>
                <w:rFonts w:ascii="Arial" w:cs="Arial" w:eastAsia="Arial" w:hAnsi="Arial"/>
                <w:sz w:val="4"/>
                <w:szCs w:val="4"/>
                <w:color w:val="FFFFFF"/>
              </w:rPr>
              <w:t>Our director nomination process is carefully designed to ensureHasbro’board with balanced skill sets, perspective and experience</w:t>
            </w:r>
          </w:p>
        </w:tc>
        <w:tc>
          <w:tcPr>
            <w:tcW w:w="0" w:type="dxa"/>
            <w:vAlign w:val="bottom"/>
          </w:tcPr>
          <w:p>
            <w:pPr>
              <w:spacing w:after="0" w:line="20" w:lineRule="exact"/>
              <w:rPr>
                <w:sz w:val="1"/>
                <w:szCs w:val="1"/>
                <w:color w:val="auto"/>
              </w:rPr>
            </w:pPr>
          </w:p>
        </w:tc>
      </w:tr>
      <w:tr>
        <w:trPr>
          <w:trHeight w:val="39"/>
        </w:trPr>
        <w:tc>
          <w:tcPr>
            <w:tcW w:w="4180" w:type="dxa"/>
            <w:vAlign w:val="bottom"/>
            <w:gridSpan w:val="4"/>
          </w:tcPr>
          <w:p>
            <w:pPr>
              <w:spacing w:after="0" w:line="40" w:lineRule="exact"/>
              <w:rPr>
                <w:sz w:val="20"/>
                <w:szCs w:val="20"/>
                <w:color w:val="auto"/>
              </w:rPr>
            </w:pPr>
            <w:r>
              <w:rPr>
                <w:rFonts w:ascii="Arial" w:cs="Arial" w:eastAsia="Arial" w:hAnsi="Arial"/>
                <w:sz w:val="4"/>
                <w:szCs w:val="4"/>
                <w:color w:val="FFFFFF"/>
              </w:rPr>
              <w:t>The Proposal does not recognize our commitment to shareholder outreach and</w:t>
            </w:r>
          </w:p>
        </w:tc>
        <w:tc>
          <w:tcPr>
            <w:tcW w:w="500" w:type="dxa"/>
            <w:vAlign w:val="bottom"/>
          </w:tcPr>
          <w:p>
            <w:pPr>
              <w:spacing w:after="0"/>
              <w:rPr>
                <w:sz w:val="3"/>
                <w:szCs w:val="3"/>
                <w:color w:val="auto"/>
              </w:rPr>
            </w:pPr>
          </w:p>
        </w:tc>
        <w:tc>
          <w:tcPr>
            <w:tcW w:w="1360" w:type="dxa"/>
            <w:vAlign w:val="bottom"/>
          </w:tcPr>
          <w:p>
            <w:pPr>
              <w:ind w:left="280"/>
              <w:spacing w:after="0" w:line="40" w:lineRule="exact"/>
              <w:rPr>
                <w:sz w:val="20"/>
                <w:szCs w:val="20"/>
                <w:color w:val="auto"/>
              </w:rPr>
            </w:pPr>
            <w:r>
              <w:rPr>
                <w:rFonts w:ascii="Arial" w:cs="Arial" w:eastAsia="Arial" w:hAnsi="Arial"/>
                <w:sz w:val="4"/>
                <w:szCs w:val="4"/>
                <w:color w:val="FFFFFF"/>
              </w:rPr>
              <w:t>to shareholders</w:t>
            </w: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900" w:type="dxa"/>
            <w:vAlign w:val="bottom"/>
          </w:tcPr>
          <w:p>
            <w:pPr>
              <w:spacing w:after="0" w:line="40" w:lineRule="exact"/>
              <w:rPr>
                <w:sz w:val="20"/>
                <w:szCs w:val="20"/>
                <w:color w:val="auto"/>
              </w:rPr>
            </w:pPr>
            <w:r>
              <w:rPr>
                <w:rFonts w:ascii="Arial" w:cs="Arial" w:eastAsia="Arial" w:hAnsi="Arial"/>
                <w:sz w:val="4"/>
                <w:szCs w:val="4"/>
                <w:color w:val="FFFFFF"/>
              </w:rPr>
              <w:t>Our strong</w:t>
            </w:r>
          </w:p>
        </w:tc>
        <w:tc>
          <w:tcPr>
            <w:tcW w:w="2400" w:type="dxa"/>
            <w:vAlign w:val="bottom"/>
            <w:gridSpan w:val="2"/>
          </w:tcPr>
          <w:p>
            <w:pPr>
              <w:ind w:left="340"/>
              <w:spacing w:after="0" w:line="40" w:lineRule="exact"/>
              <w:rPr>
                <w:sz w:val="20"/>
                <w:szCs w:val="20"/>
                <w:color w:val="auto"/>
              </w:rPr>
            </w:pPr>
            <w:r>
              <w:rPr>
                <w:rFonts w:ascii="Arial" w:cs="Arial" w:eastAsia="Arial" w:hAnsi="Arial"/>
                <w:sz w:val="4"/>
                <w:szCs w:val="4"/>
                <w:color w:val="FFFFFF"/>
              </w:rPr>
              <w:t>practices include election of all</w:t>
            </w:r>
          </w:p>
        </w:tc>
        <w:tc>
          <w:tcPr>
            <w:tcW w:w="274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annually basedresponsivenessamajority vote standard</w:t>
            </w: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40" w:type="dxa"/>
            <w:vAlign w:val="bottom"/>
            <w:gridSpan w:val="6"/>
          </w:tcPr>
          <w:p>
            <w:pPr>
              <w:spacing w:after="0" w:line="40" w:lineRule="exact"/>
              <w:rPr>
                <w:sz w:val="20"/>
                <w:szCs w:val="20"/>
                <w:color w:val="auto"/>
              </w:rPr>
            </w:pPr>
            <w:r>
              <w:rPr>
                <w:rFonts w:ascii="Arial" w:cs="Arial" w:eastAsia="Arial" w:hAnsi="Arial"/>
                <w:sz w:val="4"/>
                <w:szCs w:val="4"/>
                <w:color w:val="FFFFFF"/>
              </w:rPr>
              <w:t>W already governancehavemechanism in place for shareholdersdirectorspropose nominees for election to the Board</w:t>
            </w: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60" w:type="dxa"/>
            <w:vAlign w:val="bottom"/>
            <w:gridSpan w:val="7"/>
          </w:tcPr>
          <w:p>
            <w:pPr>
              <w:spacing w:after="0" w:line="40" w:lineRule="exact"/>
              <w:rPr>
                <w:sz w:val="20"/>
                <w:szCs w:val="20"/>
                <w:color w:val="auto"/>
              </w:rPr>
            </w:pPr>
            <w:r>
              <w:rPr>
                <w:rFonts w:ascii="Arial" w:cs="Arial" w:eastAsia="Arial" w:hAnsi="Arial"/>
                <w:sz w:val="4"/>
                <w:szCs w:val="4"/>
                <w:color w:val="FFFFFF"/>
              </w:rPr>
              <w:t>Before we r ceived this proposal, no shareholder had asked us to implement proxy access. Since receiving the proposal, we have been asking shareholders for views on proxy access; shareholders we have spoken with</w:t>
            </w:r>
          </w:p>
        </w:tc>
        <w:tc>
          <w:tcPr>
            <w:tcW w:w="0" w:type="dxa"/>
            <w:vAlign w:val="bottom"/>
          </w:tcPr>
          <w:p>
            <w:pPr>
              <w:spacing w:after="0" w:line="20" w:lineRule="exact"/>
              <w:rPr>
                <w:sz w:val="1"/>
                <w:szCs w:val="1"/>
                <w:color w:val="auto"/>
              </w:rPr>
            </w:pPr>
          </w:p>
        </w:tc>
      </w:tr>
      <w:tr>
        <w:trPr>
          <w:trHeight w:val="39"/>
        </w:trPr>
        <w:tc>
          <w:tcPr>
            <w:tcW w:w="6040" w:type="dxa"/>
            <w:vAlign w:val="bottom"/>
            <w:gridSpan w:val="6"/>
          </w:tcPr>
          <w:p>
            <w:pPr>
              <w:spacing w:after="0" w:line="40" w:lineRule="exact"/>
              <w:rPr>
                <w:sz w:val="20"/>
                <w:szCs w:val="20"/>
                <w:color w:val="auto"/>
              </w:rPr>
            </w:pPr>
            <w:r>
              <w:rPr>
                <w:rFonts w:ascii="Arial" w:cs="Arial" w:eastAsia="Arial" w:hAnsi="Arial"/>
                <w:sz w:val="4"/>
                <w:szCs w:val="4"/>
                <w:color w:val="FFFFFF"/>
              </w:rPr>
              <w:t>thus far have expressed differences on these issues, including whether they support any type of proxy access bylaw</w:t>
            </w: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3"/>
          </w:tcPr>
          <w:p>
            <w:pPr>
              <w:spacing w:after="0" w:line="40" w:lineRule="exact"/>
              <w:rPr>
                <w:sz w:val="20"/>
                <w:szCs w:val="20"/>
                <w:color w:val="auto"/>
              </w:rPr>
            </w:pPr>
            <w:r>
              <w:rPr>
                <w:rFonts w:ascii="Arial" w:cs="Arial" w:eastAsia="Arial" w:hAnsi="Arial"/>
                <w:sz w:val="4"/>
                <w:szCs w:val="4"/>
                <w:color w:val="FFFFFF"/>
              </w:rPr>
              <w:t>Post-Termination Equity Holding Period – Prop. #5</w:t>
            </w: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20" w:type="dxa"/>
            <w:vAlign w:val="bottom"/>
            <w:gridSpan w:val="2"/>
          </w:tcPr>
          <w:p>
            <w:pPr>
              <w:spacing w:after="0" w:line="40" w:lineRule="exact"/>
              <w:rPr>
                <w:sz w:val="20"/>
                <w:szCs w:val="20"/>
                <w:color w:val="auto"/>
              </w:rPr>
            </w:pPr>
            <w:r>
              <w:rPr>
                <w:rFonts w:ascii="Arial" w:cs="Arial" w:eastAsia="Arial" w:hAnsi="Arial"/>
                <w:sz w:val="4"/>
                <w:szCs w:val="4"/>
                <w:color w:val="FFFFFF"/>
              </w:rPr>
              <w:t>Excessive retention requirements</w:t>
            </w:r>
          </w:p>
        </w:tc>
        <w:tc>
          <w:tcPr>
            <w:tcW w:w="1480" w:type="dxa"/>
            <w:vAlign w:val="bottom"/>
          </w:tcPr>
          <w:p>
            <w:pPr>
              <w:ind w:left="100"/>
              <w:spacing w:after="0" w:line="40" w:lineRule="exact"/>
              <w:rPr>
                <w:sz w:val="20"/>
                <w:szCs w:val="20"/>
                <w:color w:val="auto"/>
              </w:rPr>
            </w:pPr>
            <w:r>
              <w:rPr>
                <w:rFonts w:ascii="Arial" w:cs="Arial" w:eastAsia="Arial" w:hAnsi="Arial"/>
                <w:sz w:val="4"/>
                <w:szCs w:val="4"/>
                <w:color w:val="FFFFFF"/>
              </w:rPr>
              <w:t>proposal could harm</w:t>
            </w:r>
          </w:p>
        </w:tc>
        <w:tc>
          <w:tcPr>
            <w:tcW w:w="880" w:type="dxa"/>
            <w:vAlign w:val="bottom"/>
          </w:tcPr>
          <w:p>
            <w:pPr>
              <w:spacing w:after="0"/>
              <w:rPr>
                <w:sz w:val="3"/>
                <w:szCs w:val="3"/>
                <w:color w:val="auto"/>
              </w:rPr>
            </w:pPr>
          </w:p>
        </w:tc>
        <w:tc>
          <w:tcPr>
            <w:tcW w:w="7180" w:type="dxa"/>
            <w:vAlign w:val="bottom"/>
            <w:gridSpan w:val="3"/>
            <w:vMerge w:val="restart"/>
          </w:tcPr>
          <w:p>
            <w:pPr>
              <w:ind w:left="60"/>
              <w:spacing w:after="0" w:line="79" w:lineRule="exact"/>
              <w:rPr>
                <w:sz w:val="20"/>
                <w:szCs w:val="20"/>
                <w:color w:val="auto"/>
              </w:rPr>
            </w:pPr>
            <w:r>
              <w:rPr>
                <w:rFonts w:ascii="Arial" w:cs="Arial" w:eastAsia="Arial" w:hAnsi="Arial"/>
                <w:sz w:val="9"/>
                <w:szCs w:val="9"/>
                <w:color w:val="FFFFFF"/>
              </w:rPr>
              <w:t>early departure from Company), and may encourage undesirable risk taking</w:t>
            </w:r>
          </w:p>
        </w:tc>
        <w:tc>
          <w:tcPr>
            <w:tcW w:w="0" w:type="dxa"/>
            <w:vAlign w:val="bottom"/>
          </w:tcPr>
          <w:p>
            <w:pPr>
              <w:spacing w:after="0" w:line="20" w:lineRule="exact"/>
              <w:rPr>
                <w:sz w:val="1"/>
                <w:szCs w:val="1"/>
                <w:color w:val="auto"/>
              </w:rPr>
            </w:pPr>
          </w:p>
        </w:tc>
      </w:tr>
      <w:tr>
        <w:trPr>
          <w:trHeight w:val="39"/>
        </w:trPr>
        <w:tc>
          <w:tcPr>
            <w:tcW w:w="4180" w:type="dxa"/>
            <w:vAlign w:val="bottom"/>
            <w:gridSpan w:val="4"/>
          </w:tcPr>
          <w:p>
            <w:pPr>
              <w:spacing w:after="0" w:line="40" w:lineRule="exact"/>
              <w:rPr>
                <w:sz w:val="20"/>
                <w:szCs w:val="20"/>
                <w:color w:val="auto"/>
              </w:rPr>
            </w:pPr>
            <w:r>
              <w:rPr>
                <w:rFonts w:ascii="Arial" w:cs="Arial" w:eastAsia="Arial" w:hAnsi="Arial"/>
                <w:sz w:val="4"/>
                <w:szCs w:val="4"/>
                <w:color w:val="FFFFFF"/>
              </w:rPr>
              <w:t>Company’s ability to attract and retain top executives (including by</w:t>
            </w:r>
          </w:p>
        </w:tc>
        <w:tc>
          <w:tcPr>
            <w:tcW w:w="7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60" w:type="dxa"/>
            <w:vAlign w:val="bottom"/>
            <w:gridSpan w:val="7"/>
          </w:tcPr>
          <w:p>
            <w:pPr>
              <w:spacing w:after="0" w:line="40" w:lineRule="exact"/>
              <w:rPr>
                <w:sz w:val="20"/>
                <w:szCs w:val="20"/>
                <w:color w:val="auto"/>
              </w:rPr>
            </w:pPr>
            <w:r>
              <w:rPr>
                <w:rFonts w:ascii="Arial" w:cs="Arial" w:eastAsia="Arial" w:hAnsi="Arial"/>
                <w:sz w:val="4"/>
                <w:szCs w:val="4"/>
                <w:color w:val="FFFFFF"/>
              </w:rPr>
              <w:t>Hasbro has significant share ownership requirements in place, as wellencouragingaspolicy prohibiting pledging or hedging of Company shares</w:t>
            </w:r>
          </w:p>
        </w:tc>
        <w:tc>
          <w:tcPr>
            <w:tcW w:w="0" w:type="dxa"/>
            <w:vAlign w:val="bottom"/>
          </w:tcPr>
          <w:p>
            <w:pPr>
              <w:spacing w:after="0" w:line="20" w:lineRule="exact"/>
              <w:rPr>
                <w:sz w:val="1"/>
                <w:szCs w:val="1"/>
                <w:color w:val="auto"/>
              </w:rPr>
            </w:pPr>
          </w:p>
        </w:tc>
      </w:tr>
      <w:tr>
        <w:trPr>
          <w:trHeight w:val="39"/>
        </w:trPr>
        <w:tc>
          <w:tcPr>
            <w:tcW w:w="1820" w:type="dxa"/>
            <w:vAlign w:val="bottom"/>
            <w:gridSpan w:val="2"/>
          </w:tcPr>
          <w:p>
            <w:pPr>
              <w:spacing w:after="0" w:line="40" w:lineRule="exact"/>
              <w:rPr>
                <w:sz w:val="20"/>
                <w:szCs w:val="20"/>
                <w:color w:val="auto"/>
              </w:rPr>
            </w:pPr>
            <w:r>
              <w:rPr>
                <w:rFonts w:ascii="Arial" w:cs="Arial" w:eastAsia="Arial" w:hAnsi="Arial"/>
                <w:sz w:val="4"/>
                <w:szCs w:val="4"/>
                <w:color w:val="FFFFFF"/>
              </w:rPr>
              <w:t>Proposal does not recognize the</w:t>
            </w:r>
          </w:p>
        </w:tc>
        <w:tc>
          <w:tcPr>
            <w:tcW w:w="9540" w:type="dxa"/>
            <w:vAlign w:val="bottom"/>
            <w:gridSpan w:val="5"/>
          </w:tcPr>
          <w:p>
            <w:pPr>
              <w:ind w:left="340"/>
              <w:spacing w:after="0" w:line="40" w:lineRule="exact"/>
              <w:rPr>
                <w:sz w:val="20"/>
                <w:szCs w:val="20"/>
                <w:color w:val="auto"/>
              </w:rPr>
            </w:pPr>
            <w:r>
              <w:rPr>
                <w:rFonts w:ascii="Arial" w:cs="Arial" w:eastAsia="Arial" w:hAnsi="Arial"/>
                <w:sz w:val="4"/>
                <w:szCs w:val="4"/>
                <w:color w:val="FFFFFF"/>
              </w:rPr>
              <w:t>strong alignment of executive compensation plans with shareholder interests</w:t>
            </w:r>
          </w:p>
        </w:tc>
        <w:tc>
          <w:tcPr>
            <w:tcW w:w="0" w:type="dxa"/>
            <w:vAlign w:val="bottom"/>
          </w:tcPr>
          <w:p>
            <w:pPr>
              <w:spacing w:after="0" w:line="20" w:lineRule="exact"/>
              <w:rPr>
                <w:sz w:val="1"/>
                <w:szCs w:val="1"/>
                <w:color w:val="auto"/>
              </w:rPr>
            </w:pPr>
          </w:p>
        </w:tc>
      </w:tr>
      <w:tr>
        <w:trPr>
          <w:trHeight w:val="39"/>
        </w:trPr>
        <w:tc>
          <w:tcPr>
            <w:tcW w:w="3300" w:type="dxa"/>
            <w:vAlign w:val="bottom"/>
            <w:gridSpan w:val="3"/>
          </w:tcPr>
          <w:p>
            <w:pPr>
              <w:spacing w:after="0" w:line="40" w:lineRule="exact"/>
              <w:rPr>
                <w:sz w:val="20"/>
                <w:szCs w:val="20"/>
                <w:color w:val="auto"/>
              </w:rPr>
            </w:pPr>
            <w:r>
              <w:rPr>
                <w:rFonts w:ascii="Arial" w:cs="Arial" w:eastAsia="Arial" w:hAnsi="Arial"/>
                <w:sz w:val="4"/>
                <w:szCs w:val="4"/>
                <w:color w:val="FFFFFF"/>
              </w:rPr>
              <w:t>Limit on Equity Vesting on Changeexisting--Control – Prop. #6</w:t>
            </w: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3"/>
          </w:tcPr>
          <w:p>
            <w:pPr>
              <w:ind w:left="520"/>
              <w:spacing w:after="0" w:line="40" w:lineRule="exact"/>
              <w:rPr>
                <w:sz w:val="20"/>
                <w:szCs w:val="20"/>
                <w:color w:val="auto"/>
              </w:rPr>
            </w:pPr>
            <w:r>
              <w:rPr>
                <w:rFonts w:ascii="Arial" w:cs="Arial" w:eastAsia="Arial" w:hAnsi="Arial"/>
                <w:sz w:val="4"/>
                <w:szCs w:val="4"/>
                <w:color w:val="FFFFFF"/>
              </w:rPr>
              <w:t>’s current double trigger approach best serves the</w:t>
            </w: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60" w:type="dxa"/>
            <w:vAlign w:val="bottom"/>
            <w:gridSpan w:val="7"/>
          </w:tcPr>
          <w:p>
            <w:pPr>
              <w:ind w:left="100"/>
              <w:spacing w:after="0" w:line="40" w:lineRule="exact"/>
              <w:rPr>
                <w:sz w:val="20"/>
                <w:szCs w:val="20"/>
                <w:color w:val="auto"/>
              </w:rPr>
            </w:pPr>
            <w:r>
              <w:rPr>
                <w:rFonts w:ascii="Arial" w:cs="Arial" w:eastAsia="Arial" w:hAnsi="Arial"/>
                <w:sz w:val="4"/>
                <w:szCs w:val="4"/>
                <w:color w:val="FFFFFF"/>
              </w:rPr>
              <w:t>ompany and shareholders, including by incentivizing employees to remain through completion of change in control</w:t>
            </w:r>
          </w:p>
        </w:tc>
        <w:tc>
          <w:tcPr>
            <w:tcW w:w="0" w:type="dxa"/>
            <w:vAlign w:val="bottom"/>
          </w:tcPr>
          <w:p>
            <w:pPr>
              <w:spacing w:after="0" w:line="20" w:lineRule="exact"/>
              <w:rPr>
                <w:sz w:val="1"/>
                <w:szCs w:val="1"/>
                <w:color w:val="auto"/>
              </w:rPr>
            </w:pPr>
          </w:p>
        </w:tc>
      </w:tr>
      <w:tr>
        <w:trPr>
          <w:trHeight w:val="0"/>
        </w:trPr>
        <w:tc>
          <w:tcPr>
            <w:tcW w:w="6040" w:type="dxa"/>
            <w:vAlign w:val="bottom"/>
            <w:gridSpan w:val="6"/>
          </w:tcPr>
          <w:p>
            <w:pPr>
              <w:spacing w:after="0" w:line="78" w:lineRule="exact"/>
              <w:rPr>
                <w:sz w:val="20"/>
                <w:szCs w:val="20"/>
                <w:color w:val="auto"/>
              </w:rPr>
            </w:pPr>
            <w:r>
              <w:rPr>
                <w:rFonts w:ascii="Arial" w:cs="Arial" w:eastAsia="Arial" w:hAnsi="Arial"/>
                <w:sz w:val="8"/>
                <w:szCs w:val="8"/>
                <w:color w:val="FFFFFF"/>
              </w:rPr>
              <w:t>Current structure gives Compensation Committee flexibility to accelerate vesting in situations it deems</w:t>
            </w:r>
          </w:p>
        </w:tc>
        <w:tc>
          <w:tcPr>
            <w:tcW w:w="5320" w:type="dxa"/>
            <w:vAlign w:val="bottom"/>
          </w:tcPr>
          <w:p>
            <w:pPr>
              <w:ind w:left="20"/>
              <w:spacing w:after="0" w:line="78" w:lineRule="exact"/>
              <w:rPr>
                <w:sz w:val="20"/>
                <w:szCs w:val="20"/>
                <w:color w:val="auto"/>
              </w:rPr>
            </w:pPr>
            <w:r>
              <w:rPr>
                <w:rFonts w:ascii="Arial" w:cs="Arial" w:eastAsia="Arial" w:hAnsi="Arial"/>
                <w:sz w:val="8"/>
                <w:szCs w:val="8"/>
                <w:color w:val="FFFFFF"/>
              </w:rPr>
              <w:t>and in the best interests of Company and shareholders</w:t>
            </w: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13"/>
          <w:szCs w:val="13"/>
          <w:color w:val="FFFFFF"/>
        </w:rPr>
        <w:t>Many senior executives receive the majority of compensation in equity; the proposal could put the Companyappropriatecompetitive disadvantage in attracting and retaining talent</w:t>
      </w:r>
    </w:p>
    <w:p>
      <w:pPr>
        <w:sectPr>
          <w:pgSz w:w="11900" w:h="16838" w:orient="portrait"/>
          <w:cols w:equalWidth="0" w:num="1">
            <w:col w:w="11360"/>
          </w:cols>
          <w:pgMar w:left="240" w:top="1440" w:right="2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Toy &amp; Game</w:t>
      </w:r>
    </w:p>
    <w:p>
      <w:pPr>
        <w:spacing w:after="0" w:line="204" w:lineRule="auto"/>
        <w:rPr>
          <w:sz w:val="20"/>
          <w:szCs w:val="20"/>
          <w:color w:val="auto"/>
        </w:rPr>
      </w:pPr>
      <w:r>
        <w:rPr>
          <w:rFonts w:ascii="Arial" w:cs="Arial" w:eastAsia="Arial" w:hAnsi="Arial"/>
          <w:sz w:val="4"/>
          <w:szCs w:val="4"/>
          <w:color w:val="FFFFFF"/>
        </w:rPr>
        <w:t>Product</w:t>
      </w:r>
    </w:p>
    <w:p>
      <w:pPr>
        <w:spacing w:after="0" w:line="205" w:lineRule="auto"/>
        <w:rPr>
          <w:sz w:val="20"/>
          <w:szCs w:val="20"/>
          <w:color w:val="auto"/>
        </w:rPr>
      </w:pPr>
      <w:r>
        <w:rPr>
          <w:rFonts w:ascii="Arial" w:cs="Arial" w:eastAsia="Arial" w:hAnsi="Arial"/>
          <w:sz w:val="4"/>
          <w:szCs w:val="4"/>
          <w:color w:val="FFFFFF"/>
        </w:rPr>
        <w:t>Innovation</w:t>
      </w:r>
    </w:p>
    <w:p>
      <w:pPr>
        <w:spacing w:after="0" w:line="205" w:lineRule="auto"/>
        <w:rPr>
          <w:sz w:val="20"/>
          <w:szCs w:val="20"/>
          <w:color w:val="auto"/>
        </w:rPr>
      </w:pPr>
      <w:r>
        <w:rPr>
          <w:rFonts w:ascii="Arial" w:cs="Arial" w:eastAsia="Arial" w:hAnsi="Arial"/>
          <w:sz w:val="4"/>
          <w:szCs w:val="4"/>
          <w:color w:val="FFFFFF"/>
        </w:rPr>
        <w:t>Storytelling</w:t>
      </w:r>
    </w:p>
    <w:p>
      <w:pPr>
        <w:spacing w:after="0" w:line="182" w:lineRule="auto"/>
        <w:rPr>
          <w:sz w:val="20"/>
          <w:szCs w:val="20"/>
          <w:color w:val="auto"/>
        </w:rPr>
      </w:pPr>
      <w:r>
        <w:rPr>
          <w:rFonts w:ascii="Arial" w:cs="Arial" w:eastAsia="Arial" w:hAnsi="Arial"/>
          <w:sz w:val="9"/>
          <w:szCs w:val="9"/>
          <w:color w:val="FFFFFF"/>
        </w:rPr>
        <w:t>Digital Lifestyle</w:t>
      </w:r>
    </w:p>
    <w:p>
      <w:pPr>
        <w:spacing w:after="0" w:line="235" w:lineRule="auto"/>
        <w:rPr>
          <w:sz w:val="20"/>
          <w:szCs w:val="20"/>
          <w:color w:val="auto"/>
        </w:rPr>
      </w:pPr>
      <w:r>
        <w:rPr>
          <w:rFonts w:ascii="Arial" w:cs="Arial" w:eastAsia="Arial" w:hAnsi="Arial"/>
          <w:sz w:val="7"/>
          <w:szCs w:val="7"/>
          <w:color w:val="FFFFFF"/>
        </w:rPr>
        <w:t>ConsumerMediaBRANDSInsightsLicensing</w:t>
      </w:r>
    </w:p>
    <w:p>
      <w:pPr>
        <w:spacing w:after="0" w:line="182" w:lineRule="auto"/>
        <w:rPr>
          <w:sz w:val="20"/>
          <w:szCs w:val="20"/>
          <w:color w:val="auto"/>
        </w:rPr>
      </w:pPr>
      <w:r>
        <w:rPr>
          <w:rFonts w:ascii="Arial" w:cs="Arial" w:eastAsia="Arial" w:hAnsi="Arial"/>
          <w:sz w:val="9"/>
          <w:szCs w:val="9"/>
          <w:color w:val="FFFFFF"/>
          <w:vertAlign w:val="subscript"/>
        </w:rPr>
        <w:t>Experiences</w:t>
      </w:r>
      <w:r>
        <w:rPr>
          <w:rFonts w:ascii="Arial" w:cs="Arial" w:eastAsia="Arial" w:hAnsi="Arial"/>
          <w:sz w:val="7"/>
          <w:szCs w:val="7"/>
          <w:color w:val="FFFFFF"/>
        </w:rPr>
        <w:t>Imntertainmentve</w:t>
      </w:r>
    </w:p>
    <w:p>
      <w:pPr>
        <w:spacing w:after="0"/>
        <w:rPr>
          <w:sz w:val="20"/>
          <w:szCs w:val="20"/>
          <w:color w:val="auto"/>
        </w:rPr>
      </w:pPr>
      <w:r>
        <w:rPr>
          <w:rFonts w:ascii="Arial" w:cs="Arial" w:eastAsia="Arial" w:hAnsi="Arial"/>
          <w:sz w:val="11"/>
          <w:szCs w:val="11"/>
          <w:color w:val="FFFFFF"/>
        </w:rPr>
        <w:t>Strategic Retail Partnerships</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Safe Harbor</w:t>
      </w:r>
    </w:p>
    <w:p>
      <w:pPr>
        <w:ind w:right="280"/>
        <w:spacing w:after="0" w:line="245" w:lineRule="auto"/>
        <w:rPr>
          <w:sz w:val="20"/>
          <w:szCs w:val="20"/>
          <w:color w:val="auto"/>
        </w:rPr>
      </w:pPr>
      <w:r>
        <w:rPr>
          <w:rFonts w:ascii="Arial" w:cs="Arial" w:eastAsia="Arial" w:hAnsi="Arial"/>
          <w:sz w:val="5"/>
          <w:szCs w:val="5"/>
          <w:color w:val="FFFFFF"/>
        </w:rPr>
        <w:t>uncertainties.FORWARD-LOOKINGTheseforwardSTATEMENTS:-lookingstatementsThispresentationmayincludecontainscommentsforwardconcerning-lookingourstatementsproduct andconcerningentertainmentmanagement’plans,businessexpectations,opportunities,goals,objectivesplansand andstrategies,similarfinancialmatters, whichgoalsandare expectationssubjecttorisksforandour future forwardinancial performance and achieving our objectives. There are many factors that could cause actual results and experience to differ materially from the anticipated results or other expectations expressed in these</w:t>
      </w:r>
    </w:p>
    <w:p>
      <w:pPr>
        <w:ind w:left="10980"/>
        <w:spacing w:after="0"/>
        <w:rPr>
          <w:sz w:val="20"/>
          <w:szCs w:val="20"/>
          <w:color w:val="auto"/>
        </w:rPr>
      </w:pPr>
      <w:r>
        <w:rPr>
          <w:rFonts w:ascii="Arial" w:cs="Arial" w:eastAsia="Arial" w:hAnsi="Arial"/>
          <w:sz w:val="1"/>
          <w:szCs w:val="1"/>
          <w:color w:val="FFFFFF"/>
        </w:rPr>
        <w:t>-lookingincludstatements,gforeignincludingexchangeconsumerrates.Someandofretailerthose factorsinterestarein setandforthacceptanceintheCompany’ofourproductsAnnualandReportsproduct lines,Formchanges10-K, inin marketingtheCompany’and businessQuarterlyplansReportsand strategiesonForm10as-Q,wellinasthefutureCompany’global economicCurrentReports</w:t>
      </w:r>
    </w:p>
    <w:p>
      <w:pPr>
        <w:ind w:right="560"/>
        <w:spacing w:after="0"/>
        <w:rPr>
          <w:sz w:val="20"/>
          <w:szCs w:val="20"/>
          <w:color w:val="auto"/>
        </w:rPr>
      </w:pPr>
      <w:r>
        <w:rPr>
          <w:rFonts w:ascii="Arial" w:cs="Arial" w:eastAsia="Arial" w:hAnsi="Arial"/>
          <w:sz w:val="9"/>
          <w:szCs w:val="9"/>
          <w:color w:val="FFFFFF"/>
        </w:rPr>
        <w:t>conditions,Form8-K and in the Company’s other public disclosures. The Company undertakes no obligation to make any revisions to the forward-looking statements contained in this presentation to reflect events or circumstances occurring after the date of this presentation.</w:t>
      </w:r>
    </w:p>
    <w:p>
      <w:pPr>
        <w:spacing w:after="0" w:line="54" w:lineRule="exact"/>
        <w:rPr>
          <w:sz w:val="20"/>
          <w:szCs w:val="20"/>
          <w:color w:val="auto"/>
        </w:rPr>
      </w:pPr>
    </w:p>
    <w:p>
      <w:pPr>
        <w:spacing w:after="0"/>
        <w:rPr>
          <w:sz w:val="20"/>
          <w:szCs w:val="20"/>
          <w:color w:val="auto"/>
        </w:rPr>
      </w:pPr>
      <w:r>
        <w:rPr>
          <w:rFonts w:ascii="Arial" w:cs="Arial" w:eastAsia="Arial" w:hAnsi="Arial"/>
          <w:sz w:val="7"/>
          <w:szCs w:val="7"/>
          <w:color w:val="FFFFFF"/>
        </w:rPr>
        <w:t>InvestorREGULATIONRelations’G: InformationsectionofHasbro’srequiredwebsitebySecuritiesat:http://investor.hasbro.com,andExchangeCommissionunderRegulationthesubheadingG,regarding“Financialnon-Information”GAAPfinancial–“Quarterlymeasures,Results.”aswellas other financial and statistical information, are available on the</w:t>
      </w:r>
    </w:p>
    <w:p>
      <w:pPr>
        <w:sectPr>
          <w:pgSz w:w="11900" w:h="16838" w:orient="portrait"/>
          <w:cols w:equalWidth="0" w:num="1">
            <w:col w:w="11400"/>
          </w:cols>
          <w:pgMar w:left="240" w:top="1440" w:right="2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DebbieQuestions?HancockPlease contact:</w:t>
      </w:r>
    </w:p>
    <w:p>
      <w:pPr>
        <w:spacing w:after="0"/>
        <w:rPr>
          <w:sz w:val="20"/>
          <w:szCs w:val="20"/>
          <w:color w:val="auto"/>
        </w:rPr>
      </w:pPr>
      <w:r>
        <w:rPr>
          <w:rFonts w:ascii="Arial" w:cs="Arial" w:eastAsia="Arial" w:hAnsi="Arial"/>
          <w:sz w:val="11"/>
          <w:szCs w:val="11"/>
          <w:color w:val="FFFFFF"/>
        </w:rPr>
        <w:t>Vice President, Investor Relations debbie.hancock@hasbro.com (401) 727.5401</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2019-12-05T11:26:36Z</dcterms:created>
  <dcterms:modified xsi:type="dcterms:W3CDTF">2019-12-05T11:26:36Z</dcterms:modified>
</cp:coreProperties>
</file>