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w:t>
      </w: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THE SECURITIES AND EXCHANGE ACT OF 1934</w:t>
      </w:r>
    </w:p>
    <w:p>
      <w:pPr>
        <w:sectPr>
          <w:pgSz w:w="11900" w:h="16838" w:orient="portrait"/>
          <w:cols w:equalWidth="0" w:num="1">
            <w:col w:w="10219"/>
          </w:cols>
          <w:pgMar w:left="240" w:top="649" w:right="1440" w:bottom="4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April 16, 1998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0"/>
            <w:col w:w="5059"/>
          </w:cols>
          <w:pgMar w:left="240" w:top="649" w:right="1440" w:bottom="41"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HASBRO, INC.</w:t>
      </w:r>
    </w:p>
    <w:p>
      <w:pPr>
        <w:spacing w:after="0" w:line="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(Name of Registrant)</w:t>
      </w:r>
    </w:p>
    <w:p>
      <w:pPr>
        <w:sectPr>
          <w:pgSz w:w="11900" w:h="16838" w:orient="portrait"/>
          <w:cols w:equalWidth="0" w:num="1">
            <w:col w:w="10219"/>
          </w:cols>
          <w:pgMar w:left="240" w:top="649" w:right="1440" w:bottom="41"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RHODE ISLAND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1-6682</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05-0155090</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2440" w:space="720"/>
            <w:col w:w="1920" w:space="720"/>
            <w:col w:w="4419"/>
          </w:cols>
          <w:pgMar w:left="240" w:top="649" w:right="1440" w:bottom="41"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1027 NEWPORT AVE., PAWTUCKET, RHODE ISLAND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02861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649" w:right="1440" w:bottom="41"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(401) 431-8697</w:t>
      </w:r>
    </w:p>
    <w:p>
      <w:pPr>
        <w:sectPr>
          <w:pgSz w:w="11900" w:h="16838" w:orient="portrait"/>
          <w:cols w:equalWidth="0" w:num="1">
            <w:col w:w="10219"/>
          </w:cols>
          <w:pgMar w:left="240" w:top="649" w:right="1440" w:bottom="41" w:gutter="0" w:footer="0" w:header="0"/>
          <w:type w:val="continuous"/>
        </w:sectPr>
      </w:pP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(Registrant's Telephone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1160" w:right="2839"/>
        <w:spacing w:after="0" w:line="290" w:lineRule="auto"/>
        <w:rPr>
          <w:sz w:val="20"/>
          <w:szCs w:val="20"/>
          <w:color w:val="auto"/>
        </w:rPr>
      </w:pPr>
      <w:r>
        <w:rPr>
          <w:rFonts w:ascii="Courier New" w:cs="Courier New" w:eastAsia="Courier New" w:hAnsi="Courier New"/>
          <w:sz w:val="16"/>
          <w:szCs w:val="16"/>
          <w:color w:val="auto"/>
        </w:rPr>
        <w:t>The April 16, 1998 Press Release of the Registrant attached hereto as EXHIBIT 99 is incorporated herein by reference.</w:t>
      </w:r>
    </w:p>
    <w:p>
      <w:pPr>
        <w:spacing w:after="0" w:line="16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ind w:left="1160"/>
        <w:spacing w:after="0"/>
        <w:tabs>
          <w:tab w:leader="none" w:pos="1560" w:val="left"/>
        </w:tabs>
        <w:rPr>
          <w:sz w:val="20"/>
          <w:szCs w:val="20"/>
          <w:color w:val="auto"/>
        </w:rPr>
      </w:pPr>
      <w:r>
        <w:rPr>
          <w:rFonts w:ascii="Courier New" w:cs="Courier New" w:eastAsia="Courier New" w:hAnsi="Courier New"/>
          <w:sz w:val="18"/>
          <w:szCs w:val="18"/>
          <w:color w:val="auto"/>
        </w:rPr>
        <w:t>99</w:t>
        <w:tab/>
        <w:t>Press Release, dated April 16, 1998, of Hasbro,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9"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HASBRO, INC.</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649" w:right="1440" w:bottom="41"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April 16, 1998</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 /s/ John T. O'Neill</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John T. O'Neill</w:t>
      </w:r>
    </w:p>
    <w:p>
      <w:pPr>
        <w:spacing w:after="0" w:line="200" w:lineRule="exact"/>
        <w:rPr>
          <w:sz w:val="24"/>
          <w:szCs w:val="24"/>
          <w:color w:val="auto"/>
        </w:rPr>
      </w:pPr>
    </w:p>
    <w:p>
      <w:pPr>
        <w:sectPr>
          <w:pgSz w:w="11900" w:h="16838" w:orient="portrait"/>
          <w:cols w:equalWidth="0" w:num="2">
            <w:col w:w="3720" w:space="720"/>
            <w:col w:w="5779"/>
          </w:cols>
          <w:pgMar w:left="240" w:top="649" w:right="1440" w:bottom="41" w:gutter="0" w:footer="0" w:header="0"/>
          <w:type w:val="continuous"/>
        </w:sectPr>
      </w:pPr>
    </w:p>
    <w:p>
      <w:pPr>
        <w:spacing w:after="0" w:line="7"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Chief Financial Officer</w:t>
      </w:r>
    </w:p>
    <w:p>
      <w:pPr>
        <w:spacing w:after="0" w:line="4"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(Duly Authorized Officer and</w:t>
      </w:r>
    </w:p>
    <w:p>
      <w:pPr>
        <w:spacing w:after="0" w:line="21"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1">
            <w:col w:w="10219"/>
          </w:cols>
          <w:pgMar w:left="240" w:top="649" w:right="1440" w:bottom="41" w:gutter="0" w:footer="0" w:header="0"/>
          <w:type w:val="continuous"/>
        </w:sectPr>
      </w:pPr>
    </w:p>
    <w:bookmarkStart w:id="1" w:name="page2"/>
    <w:bookmarkEnd w:id="1"/>
    <w:tbl>
      <w:tblPr>
        <w:tblLayout w:type="fixed"/>
        <w:tblInd w:w="286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HASBRO,</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Current Report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on Form 8-K</w:t>
            </w: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Dated April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16, 1998</w:t>
            </w: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94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94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April 16, 1998</w:t>
      </w:r>
    </w:p>
    <w:p>
      <w:pPr>
        <w:sectPr>
          <w:pgSz w:w="11900" w:h="16838" w:orient="portrait"/>
          <w:cols w:equalWidth="0" w:num="2">
            <w:col w:w="660" w:space="720"/>
            <w:col w:w="8839"/>
          </w:cols>
          <w:pgMar w:left="240" w:top="946" w:right="1440" w:bottom="1440" w:gutter="0" w:footer="0" w:header="0"/>
          <w:type w:val="continuous"/>
        </w:sectPr>
      </w:pPr>
    </w:p>
    <w:bookmarkStart w:id="2" w:name="page3"/>
    <w:bookmarkEnd w:id="2"/>
    <w:p>
      <w:pPr>
        <w:spacing w:after="0" w:line="6"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99</w:t>
      </w:r>
    </w:p>
    <w:p>
      <w:pPr>
        <w:spacing w:after="0" w:line="200" w:lineRule="exact"/>
        <w:rPr>
          <w:sz w:val="20"/>
          <w:szCs w:val="20"/>
          <w:color w:val="auto"/>
        </w:rPr>
      </w:pPr>
    </w:p>
    <w:p>
      <w:pPr>
        <w:sectPr>
          <w:pgSz w:w="11900" w:h="16838" w:orient="portrait"/>
          <w:cols w:equalWidth="0" w:num="2">
            <w:col w:w="7700" w:space="200"/>
            <w:col w:w="2319"/>
          </w:cols>
          <w:pgMar w:left="240" w:top="339" w:right="1440" w:bottom="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16,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jc w:val="right"/>
        <w:ind w:right="2099"/>
        <w:spacing w:after="0"/>
        <w:rPr>
          <w:sz w:val="20"/>
          <w:szCs w:val="20"/>
          <w:color w:val="auto"/>
        </w:rPr>
      </w:pPr>
      <w:r>
        <w:rPr>
          <w:rFonts w:ascii="Courier New" w:cs="Courier New" w:eastAsia="Courier New" w:hAnsi="Courier New"/>
          <w:sz w:val="18"/>
          <w:szCs w:val="18"/>
          <w:color w:val="auto"/>
        </w:rPr>
        <w:t>John T. O'Neill</w:t>
      </w:r>
    </w:p>
    <w:p>
      <w:pPr>
        <w:jc w:val="right"/>
        <w:ind w:right="2099"/>
        <w:spacing w:after="0" w:line="238" w:lineRule="auto"/>
        <w:rPr>
          <w:sz w:val="20"/>
          <w:szCs w:val="20"/>
          <w:color w:val="auto"/>
        </w:rPr>
      </w:pPr>
      <w:r>
        <w:rPr>
          <w:rFonts w:ascii="Courier New" w:cs="Courier New" w:eastAsia="Courier New" w:hAnsi="Courier New"/>
          <w:sz w:val="18"/>
          <w:szCs w:val="18"/>
          <w:color w:val="auto"/>
        </w:rPr>
        <w:t>401-727-5600</w:t>
      </w:r>
    </w:p>
    <w:p>
      <w:pPr>
        <w:spacing w:after="0" w:line="5"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Renita E. O'Connell</w:t>
      </w:r>
    </w:p>
    <w:p>
      <w:pPr>
        <w:spacing w:after="0" w:line="16"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401-727-5401</w:t>
      </w:r>
    </w:p>
    <w:p>
      <w:pPr>
        <w:spacing w:after="0" w:line="200" w:lineRule="exact"/>
        <w:rPr>
          <w:sz w:val="20"/>
          <w:szCs w:val="20"/>
          <w:color w:val="auto"/>
        </w:rPr>
      </w:pPr>
    </w:p>
    <w:p>
      <w:pPr>
        <w:sectPr>
          <w:pgSz w:w="11900" w:h="16838" w:orient="portrait"/>
          <w:cols w:equalWidth="0" w:num="3">
            <w:col w:w="4440" w:space="720"/>
            <w:col w:w="860" w:space="100"/>
            <w:col w:w="409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HASBRO FIRST QUARTER 1998 RESULTS IN LINE WITH PRE-ANNOUNCEMENT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Pawtucket, RI (April 16, 1998) -- Hasbro, Inc. (HAS:ASE) today reported first quarter results consistent with its March 24, 1998 announcement regarding the impact of recent changes in inventory flow policies at Toys `R Us, a key customer.</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Net revenues decreased approximately 11% in local currencies, primarily due to the changes at Toys `R Us. In addition, the adverse impact of the stronger U.S. dollar reduced revenues by approximately $10 million, or almost 2%. Reported revenues were $482.8 million, or 13.1% below the $555.8 million reported last year. Net earnings and diluted earnings per share were $7.8 million and $0.06, respectively, compared to $25.7 million and $0.20, respectively, in the first quarter of 1997.</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"Across the board, our product lines performed as expected," said Alan G. Hassenfeld, Chairman and Chief Executive Officer. "Last year, our first quarter results were boosted by the theatrical re-release of the Star Wars Trilogy(TM) and anticipation of the release of The Lost World: Jurassic Park(TM). We expected a difficult comparison this year, and this has been compounded by the significant reduction in inventories and increased seasonality of purchasing patterns at Toys `R Us," Hassenfeld explained.</w:t>
      </w:r>
    </w:p>
    <w:p>
      <w:pPr>
        <w:spacing w:after="0" w:line="211"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Hassenfeld continued, "Partly offsetting the anticipated decline in Star Wars(R) and Jurassic Park(R) were increased sales by Hasbro Interactive(TM), Beast Wars(R)/Transformers(R) and the Super Soaker(R) line of water toys. Revenues from Barney(TM) also increased in anticipation of the full-screen movie release on April 3, which has been well-received. Internationally, growth occurred in Latin America and certain European markets, notably Italy and Spain. Our lower earnings in the quarter reflected the disproportionate impact that a decrease in revenues has in a seasonally low-revenue quarter, as fixed costs continue to be incurred," Hassenfeld added.</w:t>
      </w:r>
    </w:p>
    <w:p>
      <w:pPr>
        <w:spacing w:after="0" w:line="388"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Two significant achievements so far this year provide a platform for future earnings growth: first, the acquisition of Tiger Electronics in early April and second, the completion of the groundwork to implement the Global Integration and Profit Enhancement Program. The Company is on track to realize the anticipated savings from this Program in 1998 and future years.</w:t>
      </w:r>
    </w:p>
    <w:p>
      <w:pPr>
        <w:spacing w:after="0" w:line="18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"Looking ahead, we expect difficult earnings comparisons to continue in the second quarter, in part due to the ongoing inventory reduction at Toys `R Us," Alan Hassenfeld said. "Then, in the increasingly important second half, we will build sales and earnings momentum, not only from cost savings but also from Teletubbies(TM) - which debuted on April 6 on PBS to great acclaim, the summer movie release of DreamWorks' `Small Soldiers'(TM), the fall release of our new CD-ROM version of the recently acquired Atari(R) classic - Centipede(R), and new products from Tiger Electronics. We continue working hard to deliver our plan for this year, and expect to achieve double-digit growth in earnings per share," Hassenfeld concluded.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Certain statements contained in this release contain "forward looking statements" within the meaning of the Private Securities Litigation Reform Act of 1995. Such forward-looking statements are inherently subject to known and unknown risks and uncertainties. The Company's actual actions or results may differ materially from those expected or anticipated in the forward-looking statements. Specific factors that might cause such a difference include, but are not limited to, the timely manufacture and shipping by the Company of new and continuing products and their acceptance by customers and consumers in a competitive product environment; economic conditions and currency fluctuations in the various markets in which the Company operates throughout the world; the continuing trend of increased concentration of the Company's revenues in the second half and fourth quarter of the year, together with increased reliance by retailers on quick response inventory management techniques, which increases the risk of underproduction of popular items, overproduction of less popular items and failure to achieve tight and compressed shipping schedules; the impact of competition on</w:t>
      </w:r>
    </w:p>
    <w:p>
      <w:pPr>
        <w:sectPr>
          <w:pgSz w:w="11900" w:h="16838" w:orient="portrait"/>
          <w:cols w:equalWidth="0" w:num="1">
            <w:col w:w="10219"/>
          </w:cols>
          <w:pgMar w:left="240" w:top="339" w:right="1440" w:bottom="0" w:gutter="0" w:footer="0" w:header="0"/>
          <w:type w:val="continuous"/>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revenues, margins and other aspects of the Company's business; third party actions or approvals that could delay, modify or increase the cost of implementation of, the Company's Global Integration and Profit Enhancement program; and the risk that anticipated benefits of acquisitions may not occur or be delayed or reduced in their realization. The Company undertakes no obligation to make any revisions to the forward-looking statements contained in this release or to update them to reflect events or circumstances occurring after the date of this release.</w:t>
      </w:r>
    </w:p>
    <w:p>
      <w:pPr>
        <w:spacing w:after="0" w:line="20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 # #</w:t>
      </w:r>
    </w:p>
    <w:p>
      <w:pPr>
        <w:jc w:val="center"/>
        <w:ind w:right="2939"/>
        <w:spacing w:after="0" w:line="238" w:lineRule="auto"/>
        <w:rPr>
          <w:sz w:val="20"/>
          <w:szCs w:val="20"/>
          <w:color w:val="auto"/>
        </w:rPr>
      </w:pPr>
      <w:r>
        <w:rPr>
          <w:rFonts w:ascii="Courier New" w:cs="Courier New" w:eastAsia="Courier New" w:hAnsi="Courier New"/>
          <w:sz w:val="18"/>
          <w:szCs w:val="18"/>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HASBRO,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3"/>
          </w:tcPr>
          <w:p>
            <w:pPr>
              <w:spacing w:after="0"/>
              <w:rPr>
                <w:sz w:val="20"/>
                <w:szCs w:val="20"/>
                <w:color w:val="auto"/>
              </w:rPr>
            </w:pPr>
            <w:r>
              <w:rPr>
                <w:rFonts w:ascii="Courier New" w:cs="Courier New" w:eastAsia="Courier New" w:hAnsi="Courier New"/>
                <w:sz w:val="18"/>
                <w:szCs w:val="18"/>
                <w:color w:val="auto"/>
              </w:rPr>
              <w:t>(Thousands of Dollars and Shares Except Per Share Data)</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4800" w:type="dxa"/>
            <w:vAlign w:val="bottom"/>
          </w:tcPr>
          <w:p>
            <w:pPr>
              <w:spacing w:after="0"/>
              <w:rPr>
                <w:sz w:val="17"/>
                <w:szCs w:val="17"/>
                <w:color w:val="auto"/>
              </w:rPr>
            </w:pPr>
          </w:p>
        </w:tc>
        <w:tc>
          <w:tcPr>
            <w:tcW w:w="3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9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Mar. 29,</w:t>
            </w:r>
          </w:p>
        </w:tc>
        <w:tc>
          <w:tcPr>
            <w:tcW w:w="13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Mar. 30,</w:t>
            </w:r>
          </w:p>
        </w:tc>
      </w:tr>
      <w:tr>
        <w:trPr>
          <w:trHeight w:val="203"/>
        </w:trPr>
        <w:tc>
          <w:tcPr>
            <w:tcW w:w="4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1998</w:t>
            </w:r>
          </w:p>
        </w:tc>
        <w:tc>
          <w:tcPr>
            <w:tcW w:w="5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$482,820</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$555,784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204,312</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235,371</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278,508</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320,413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14,143</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10,032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Royalties, Research and Development</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67,336</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63,892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55,757</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71,302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Distribution and Administration</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135,249</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134,781</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6,023</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40,406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2,312</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(8,097)</w:t>
            </w:r>
          </w:p>
        </w:tc>
        <w:tc>
          <w:tcPr>
            <w:tcW w:w="5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(4,171)</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11,808</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40,147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4,015</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14,453</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7,793</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$ 25,694</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Per Common Share</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.06</w:t>
            </w:r>
          </w:p>
        </w:tc>
        <w:tc>
          <w:tcPr>
            <w:tcW w:w="5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Diluted</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.06</w:t>
            </w:r>
          </w:p>
        </w:tc>
        <w:tc>
          <w:tcPr>
            <w:tcW w:w="5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Cash Dividends Declared</w:t>
            </w:r>
          </w:p>
        </w:tc>
        <w:tc>
          <w:tcPr>
            <w:tcW w:w="680" w:type="dxa"/>
            <w:vAlign w:val="bottom"/>
          </w:tcPr>
          <w:p>
            <w:pPr>
              <w:ind w:left="58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.08</w:t>
            </w:r>
          </w:p>
        </w:tc>
        <w:tc>
          <w:tcPr>
            <w:tcW w:w="540" w:type="dxa"/>
            <w:vAlign w:val="bottom"/>
          </w:tcPr>
          <w:p>
            <w:pPr>
              <w:ind w:left="44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.08</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Weighted Average Number</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Shares</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133,110</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128,599</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138,209</w:t>
            </w:r>
          </w:p>
        </w:tc>
        <w:tc>
          <w:tcPr>
            <w:tcW w:w="5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138,709</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HASBRO,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(Thousands of Dollars)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Mar. 29,</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Mar. 30,</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40" w:space="720"/>
            <w:col w:w="3159"/>
          </w:cols>
          <w:pgMar w:left="240" w:top="142" w:right="1440" w:bottom="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Assets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Cash and Temporary Investments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430,601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289,546</w:t>
      </w:r>
    </w:p>
    <w:p>
      <w:pPr>
        <w:sectPr>
          <w:pgSz w:w="11900" w:h="16838" w:orient="portrait"/>
          <w:cols w:equalWidth="0" w:num="3">
            <w:col w:w="4560" w:space="720"/>
            <w:col w:w="1040" w:space="640"/>
            <w:col w:w="3259"/>
          </w:cols>
          <w:pgMar w:left="240" w:top="14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Accounts Receivable, Net</w:t>
            </w:r>
          </w:p>
        </w:tc>
        <w:tc>
          <w:tcPr>
            <w:tcW w:w="420" w:type="dxa"/>
            <w:vAlign w:val="bottom"/>
          </w:tcPr>
          <w:p>
            <w:pPr>
              <w:spacing w:after="0"/>
              <w:rPr>
                <w:sz w:val="17"/>
                <w:szCs w:val="17"/>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362,328</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517,022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269,097</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268,945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205,209</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180,395</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1,267,235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1,255,908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271,607</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299,626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1,053,124</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894,354</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2,591,966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2,449,888</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74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Short-term Borrowings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112,465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69,543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Payables and Accrued Liablities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617,015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528,308</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729,480</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597,851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149,208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Liabilities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59,771</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68,937</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789,251</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815,996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1,802,715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1,633,892</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2,591,966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2,449,888</w:t>
            </w:r>
          </w:p>
        </w:tc>
      </w:tr>
      <w:tr>
        <w:trPr>
          <w:trHeight w:val="203"/>
        </w:trPr>
        <w:tc>
          <w:tcPr>
            <w:tcW w:w="4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1" w:lineRule="exact"/>
        <w:rPr>
          <w:sz w:val="20"/>
          <w:szCs w:val="20"/>
          <w:color w:val="auto"/>
        </w:rPr>
      </w:pPr>
    </w:p>
    <w:sectPr>
      <w:pgSz w:w="11900" w:h="16838" w:orient="portrait"/>
      <w:cols w:equalWidth="0" w:num="1">
        <w:col w:w="9999"/>
      </w:cols>
      <w:pgMar w:left="4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2019-12-13T01:47:46Z</dcterms:created>
  <dcterms:modified xsi:type="dcterms:W3CDTF">2019-12-13T01:47:46Z</dcterms:modified>
</cp:coreProperties>
</file>