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80" w:after="283"/>
        <w:jc w:val="center"/>
        <w:rPr/>
      </w:pPr>
      <w:r>
        <w:rPr>
          <w:color w:val="000000"/>
        </w:rPr>
        <w:t> </w:t>
      </w:r>
      <w:r>
        <w:rPr>
          <w:rFonts w:ascii="Arial;sans-serif" w:hAnsi="Arial;sans-serif"/>
          <w:b/>
          <w:color w:val="000000"/>
          <w:sz w:val="3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Date of Report (Date of earliest event reported): July 21, 2026</w:t>
      </w:r>
    </w:p>
    <w:p>
      <w:pPr>
        <w:pStyle w:val="TextBody"/>
        <w:bidi w:val="0"/>
        <w:spacing w:lineRule="auto" w:line="288" w:before="240" w:after="240"/>
        <w:jc w:val="center"/>
        <w:rPr>
          <w:rFonts w:ascii="Arial;sans-serif" w:hAnsi="Arial;sans-serif"/>
          <w:b/>
          <w:color w:val="000000"/>
          <w:sz w:val="32"/>
        </w:rPr>
      </w:pPr>
      <w:r>
        <w:rPr>
          <w:rFonts w:ascii="Arial;sans-serif" w:hAnsi="Arial;sans-serif"/>
          <w:b/>
          <w:color w:val="000000"/>
          <w:sz w:val="32"/>
        </w:rPr>
        <w:t xml:space="preserve">Hasbro, Inc. </w:t>
      </w:r>
    </w:p>
    <w:p>
      <w:pPr>
        <w:pStyle w:val="TextBody"/>
        <w:bidi w:val="0"/>
        <w:spacing w:lineRule="auto" w:line="288" w:before="0" w:after="240"/>
        <w:jc w:val="center"/>
        <w:rPr>
          <w:rFonts w:ascii="Arial;sans-serif" w:hAnsi="Arial;sans-serif"/>
          <w:b w:val="false"/>
          <w:color w:val="000000"/>
          <w:sz w:val="24"/>
        </w:rPr>
      </w:pPr>
      <w:r>
        <w:rPr>
          <w:rFonts w:ascii="Arial;sans-serif" w:hAnsi="Arial;sans-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45"/>
        <w:gridCol w:w="1531"/>
        <w:gridCol w:w="1540"/>
        <w:gridCol w:w="381"/>
        <w:gridCol w:w="381"/>
        <w:gridCol w:w="379"/>
        <w:gridCol w:w="440"/>
        <w:gridCol w:w="439"/>
        <w:gridCol w:w="448"/>
        <w:gridCol w:w="851"/>
        <w:gridCol w:w="851"/>
        <w:gridCol w:w="1219"/>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Rhode Island</w:t>
            </w:r>
          </w:p>
        </w:tc>
        <w:tc>
          <w:tcPr>
            <w:tcW w:w="2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1-6682</w:t>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05-0155090</w:t>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468"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59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1027 Newport Avenue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Arial;sans-serif" w:hAnsi="Arial;sans-serif"/>
                <w:b/>
                <w:color w:val="000000"/>
                <w:sz w:val="20"/>
              </w:rPr>
            </w:pPr>
            <w:r>
              <w:rPr>
                <w:rFonts w:ascii="Arial;sans-serif" w:hAnsi="Arial;sans-serif"/>
                <w:b/>
                <w:color w:val="000000"/>
                <w:sz w:val="20"/>
              </w:rPr>
              <w:t>Pawtucket,</w:t>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Rhode Island</w:t>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02861</w:t>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24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center"/>
        <w:rPr/>
      </w:pPr>
      <w:r>
        <w:rPr>
          <w:rFonts w:ascii="Arial;sans-serif" w:hAnsi="Arial;sans-serif"/>
          <w:b w:val="false"/>
          <w:color w:val="000000"/>
          <w:sz w:val="22"/>
        </w:rPr>
        <w:t>Registrant’s telephone number, including area code:  </w:t>
      </w:r>
      <w:r>
        <w:rPr>
          <w:color w:val="000000"/>
        </w:rPr>
        <w:t xml:space="preserve"> </w:t>
      </w:r>
      <w:r>
        <w:rPr>
          <w:rFonts w:ascii="Arial;sans-serif" w:hAnsi="Arial;sans-serif"/>
          <w:b/>
          <w:color w:val="000000"/>
          <w:sz w:val="22"/>
        </w:rPr>
        <w:t xml:space="preserve">(401) 431-8697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140"/>
        <w:jc w:val="left"/>
        <w:rPr>
          <w:rFonts w:ascii="Arial;sans-serif" w:hAnsi="Arial;sans-serif"/>
          <w:b w:val="false"/>
          <w:color w:val="000000"/>
          <w:sz w:val="22"/>
        </w:rPr>
      </w:pPr>
      <w:r>
        <w:rPr>
          <w:rFonts w:ascii="Arial;sans-serif" w:hAnsi="Arial;sans-serif"/>
          <w:b w:val="false"/>
          <w:color w:val="000000"/>
          <w:sz w:val="22"/>
        </w:rPr>
        <w:t>Securities registered pursuant to Section 12(b) of the Act.</w:t>
      </w:r>
    </w:p>
    <w:tbl>
      <w:tblPr>
        <w:tblW w:w="9404" w:type="dxa"/>
        <w:jc w:val="left"/>
        <w:tblInd w:w="0" w:type="dxa"/>
        <w:tblLayout w:type="fixed"/>
        <w:tblCellMar>
          <w:top w:w="28" w:type="dxa"/>
          <w:left w:w="28" w:type="dxa"/>
          <w:bottom w:w="28" w:type="dxa"/>
          <w:right w:w="28" w:type="dxa"/>
        </w:tblCellMar>
      </w:tblPr>
      <w:tblGrid>
        <w:gridCol w:w="1450"/>
        <w:gridCol w:w="1275"/>
        <w:gridCol w:w="1280"/>
        <w:gridCol w:w="534"/>
        <w:gridCol w:w="534"/>
        <w:gridCol w:w="536"/>
        <w:gridCol w:w="1108"/>
        <w:gridCol w:w="1108"/>
        <w:gridCol w:w="1579"/>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$0.50 par value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HAS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Indicate by check mark whether the registrant is an emerging growth company as defined in Rule 405 of the Securities Act of 1933 or Rule 12b-2 of the Securities Exchange Act of 1934.</w:t>
      </w:r>
    </w:p>
    <w:p>
      <w:pPr>
        <w:pStyle w:val="TextBody"/>
        <w:bidi w:val="0"/>
        <w:spacing w:lineRule="auto" w:line="288" w:before="0" w:after="0"/>
        <w:jc w:val="left"/>
        <w:rPr/>
      </w:pPr>
      <w:r>
        <w:rPr>
          <w:rFonts w:ascii="Arial;sans-serif" w:hAnsi="Arial;sans-serif"/>
          <w:b w:val="false"/>
          <w:color w:val="000000"/>
          <w:sz w:val="22"/>
        </w:rPr>
        <w:t>Emerging growth company   </w:t>
      </w:r>
      <w:r>
        <w:rPr>
          <w:color w:val="000000"/>
        </w:rPr>
        <w:t xml:space="preserve"> ☐ </w:t>
      </w:r>
    </w:p>
    <w:p>
      <w:pPr>
        <w:pStyle w:val="TextBody"/>
        <w:bidi w:val="0"/>
        <w:spacing w:lineRule="auto" w:line="288" w:before="180" w:after="283"/>
        <w:jc w:val="left"/>
        <w:rPr/>
      </w:pPr>
      <w:r>
        <w:rPr>
          <w:rFonts w:ascii="Arial;sans-serif" w:hAnsi="Arial;sans-serif"/>
          <w:b w:val="false"/>
          <w:color w:val="000000"/>
          <w:sz w:val="22"/>
        </w:rPr>
        <w:t>If an emerging growth company, indicate by check mark if the registrant has elected not to use the extended transition period provided pursuant to Section 13(a) of the Exchange Act. </w:t>
      </w:r>
      <w:r>
        <w:rPr>
          <w:color w:val="000000"/>
        </w:rPr>
        <w:t xml:space="preserve">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522"/>
        <w:jc w:val="left"/>
        <w:rPr>
          <w:rFonts w:ascii="Arial;sans-serif" w:hAnsi="Arial;sans-serif"/>
          <w:b w:val="false"/>
          <w:color w:val="000000"/>
          <w:sz w:val="20"/>
        </w:rPr>
      </w:pPr>
      <w:r>
        <w:rPr>
          <w:rFonts w:ascii="Arial;sans-serif" w:hAnsi="Arial;sans-serif"/>
          <w:b w:val="false"/>
          <w:color w:val="000000"/>
          <w:sz w:val="20"/>
        </w:rPr>
        <w:t>On July 21, 2026, Hasbro, Inc. ("Hasbro" or "we") announced its financial results for the fiscal quarter ended June 28, 2026, and certain other financial information. A copy of the press release is furnished herewith as Exhibit 99.1 and is incorporated by reference herein.</w:t>
      </w:r>
    </w:p>
    <w:p>
      <w:pPr>
        <w:pStyle w:val="TextBody"/>
        <w:bidi w:val="0"/>
        <w:spacing w:lineRule="auto" w:line="288" w:before="120" w:after="283"/>
        <w:ind w:left="0" w:right="0" w:firstLine="522"/>
        <w:jc w:val="left"/>
        <w:rPr>
          <w:rFonts w:ascii="Arial;sans-serif" w:hAnsi="Arial;sans-serif"/>
          <w:b w:val="false"/>
          <w:color w:val="000000"/>
          <w:sz w:val="20"/>
        </w:rPr>
      </w:pPr>
      <w:r>
        <w:rPr>
          <w:rFonts w:ascii="Arial;sans-serif" w:hAnsi="Arial;sans-serif"/>
          <w:b w:val="false"/>
          <w:color w:val="000000"/>
          <w:sz w:val="20"/>
        </w:rPr>
        <w:t>The information furnished in Item 2.02, including the Exhibit attached hereto, shall not be deemed "filed" for any purpose, and shall not be deemed incorporated by reference in any filing under the Securities Act of 1933, as amended, or the Securities Exchange Act of 1934, as amended, regardless of any general incorporation language in any such filing.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54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440"/>
        <w:jc w:val="left"/>
        <w:rPr/>
      </w:pPr>
      <w:r>
        <w:rPr>
          <w:rFonts w:ascii="Arial;sans-serif" w:hAnsi="Arial;sans-serif"/>
          <w:b w:val="false"/>
          <w:color w:val="000000"/>
          <w:sz w:val="20"/>
        </w:rPr>
        <w:t>99.1</w:t>
      </w:r>
      <w:r>
        <w:rPr>
          <w:color w:val="000000"/>
        </w:rPr>
        <w:t>     </w:t>
      </w:r>
      <w:hyperlink w:anchor="exhibit991q22026.htm">
        <w:r>
          <w:rPr>
            <w:rStyle w:val="InternetLink"/>
            <w:rFonts w:ascii="Arial;sans-serif" w:hAnsi="Arial;sans-serif"/>
            <w:b w:val="false"/>
            <w:color w:val="0000FF"/>
            <w:sz w:val="20"/>
            <w:u w:val="single"/>
          </w:rPr>
          <w:t>Hasbro, Inc. Press Release, dated July 21, 2026.</w:t>
        </w:r>
      </w:hyperlink>
    </w:p>
    <w:p>
      <w:pPr>
        <w:pStyle w:val="TextBody"/>
        <w:bidi w:val="0"/>
        <w:spacing w:lineRule="auto" w:line="288" w:before="120" w:after="283"/>
        <w:ind w:left="0" w:right="0" w:firstLine="1440"/>
        <w:jc w:val="left"/>
        <w:rPr>
          <w:rFonts w:ascii="Arial;sans-serif" w:hAnsi="Arial;sans-serif"/>
          <w:b w:val="false"/>
          <w:color w:val="000000"/>
          <w:sz w:val="20"/>
        </w:rPr>
      </w:pPr>
      <w:r>
        <w:rPr>
          <w:rFonts w:ascii="Arial;sans-serif" w:hAnsi="Arial;sans-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ind w:left="0" w:right="0" w:firstLine="522"/>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531" w:type="dxa"/>
        <w:jc w:val="left"/>
        <w:tblInd w:w="0" w:type="dxa"/>
        <w:tblLayout w:type="fixed"/>
        <w:tblCellMar>
          <w:top w:w="28" w:type="dxa"/>
          <w:left w:w="28" w:type="dxa"/>
          <w:bottom w:w="28" w:type="dxa"/>
          <w:right w:w="28" w:type="dxa"/>
        </w:tblCellMar>
      </w:tblPr>
      <w:tblGrid>
        <w:gridCol w:w="124"/>
        <w:gridCol w:w="109"/>
        <w:gridCol w:w="109"/>
        <w:gridCol w:w="223"/>
        <w:gridCol w:w="223"/>
        <w:gridCol w:w="228"/>
        <w:gridCol w:w="1321"/>
        <w:gridCol w:w="1321"/>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br/>
              <w:t>HASBRO,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br/>
              <w:t> </w:t>
              <w:b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Gina Goetter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Gina Goetter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Chief Operating Officer</w:t>
            </w:r>
          </w:p>
        </w:tc>
      </w:tr>
    </w:tbl>
    <w:p>
      <w:pPr>
        <w:pStyle w:val="TextBody"/>
        <w:bidi w:val="0"/>
        <w:spacing w:lineRule="auto" w:line="288"/>
        <w:ind w:left="0" w:right="0" w:firstLine="522"/>
        <w:jc w:val="left"/>
        <w:rPr>
          <w:rFonts w:ascii="Arial;sans-serif" w:hAnsi="Arial;sans-serif"/>
          <w:b w:val="false"/>
          <w:color w:val="000000"/>
          <w:sz w:val="20"/>
        </w:rPr>
      </w:pPr>
      <w:r>
        <w:rPr>
          <w:rFonts w:ascii="Arial;sans-serif" w:hAnsi="Arial;sans-serif"/>
          <w:b w:val="false"/>
          <w:color w:val="000000"/>
          <w:sz w:val="20"/>
        </w:rPr>
        <w:t>Date: July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drawing>
          <wp:inline distT="0" distB="0" distL="0" distR="0">
            <wp:extent cx="952500" cy="952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r>
        <w:rPr>
          <w:color w:val="000000"/>
        </w:rPr>
        <w:t xml:space="preserve"> </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 Immediate Release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Hasbro Reports Second Quarter 2026 Financial Results </w:t>
      </w:r>
    </w:p>
    <w:p>
      <w:pPr>
        <w:pStyle w:val="TextBody"/>
        <w:bidi w:val="0"/>
        <w:spacing w:lineRule="auto" w:line="288" w:before="0" w:after="0"/>
        <w:jc w:val="center"/>
        <w:rPr>
          <w:rFonts w:ascii="Arial;sans-serif" w:hAnsi="Arial;sans-serif"/>
          <w:b w:val="false"/>
          <w:i/>
          <w:color w:val="000000"/>
          <w:sz w:val="24"/>
        </w:rPr>
      </w:pPr>
      <w:r>
        <w:rPr>
          <w:rFonts w:ascii="Arial;sans-serif" w:hAnsi="Arial;sans-serif"/>
          <w:b w:val="false"/>
          <w:i/>
          <w:color w:val="000000"/>
          <w:sz w:val="24"/>
        </w:rPr>
        <w:t>Results Reflect Record Wizards of the Coast Performance &amp; Consumer Products Growth</w:t>
      </w:r>
    </w:p>
    <w:p>
      <w:pPr>
        <w:pStyle w:val="TextBody"/>
        <w:bidi w:val="0"/>
        <w:spacing w:lineRule="auto" w:line="288" w:before="0" w:after="0"/>
        <w:jc w:val="center"/>
        <w:rPr>
          <w:rFonts w:ascii="Arial;sans-serif" w:hAnsi="Arial;sans-serif"/>
          <w:b w:val="false"/>
          <w:i/>
          <w:color w:val="000000"/>
          <w:sz w:val="24"/>
        </w:rPr>
      </w:pPr>
      <w:r>
        <w:rPr>
          <w:rFonts w:ascii="Arial;sans-serif" w:hAnsi="Arial;sans-serif"/>
          <w:b w:val="false"/>
          <w:i/>
          <w:color w:val="000000"/>
          <w:sz w:val="24"/>
        </w:rPr>
        <w:t>Increases 2026 Financial Outlook</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val="false"/>
          <w:color w:val="000000"/>
          <w:sz w:val="22"/>
        </w:rPr>
        <w:t xml:space="preserve">Pawtucket, R.I., July 21, 2026 </w:t>
      </w:r>
      <w:r>
        <w:rPr>
          <w:rFonts w:ascii="Arial;sans-serif" w:hAnsi="Arial;sans-serif"/>
          <w:b/>
          <w:color w:val="000000"/>
          <w:sz w:val="22"/>
        </w:rPr>
        <w:t xml:space="preserve">-- </w:t>
      </w:r>
      <w:r>
        <w:rPr>
          <w:rFonts w:ascii="Arial;sans-serif" w:hAnsi="Arial;sans-serif"/>
          <w:b w:val="false"/>
          <w:color w:val="000000"/>
          <w:sz w:val="22"/>
        </w:rPr>
        <w:t>Hasbro, Inc. (NASDAQ: HAS), a leading games, IP, and toy company, today reported financial results for the second quarter 2026.</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2"/>
        </w:rPr>
        <w:t>"Hasbro posted another quarter of topline growth, led by Wizards of the Coast," said Chris Cocks, Hasbro Chief Executive Officer. "</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eclipsed $500 million in quarterly revenue for the first time in its 30-plus year history, led by the record-breaking debut of </w:t>
      </w:r>
      <w:r>
        <w:rPr>
          <w:rFonts w:ascii="Arial;sans-serif" w:hAnsi="Arial;sans-serif"/>
          <w:b w:val="false"/>
          <w:i/>
          <w:color w:val="000000"/>
          <w:sz w:val="22"/>
        </w:rPr>
        <w:t>Marvel Super Heroes</w:t>
      </w:r>
      <w:r>
        <w:rPr>
          <w:rFonts w:ascii="Arial;sans-serif" w:hAnsi="Arial;sans-serif"/>
          <w:b w:val="false"/>
          <w:color w:val="000000"/>
          <w:sz w:val="22"/>
        </w:rPr>
        <w:t xml:space="preserve">. With strong indications for our remaining releases and line of sight to continued growth in 2027, the </w:t>
      </w:r>
      <w:r>
        <w:rPr>
          <w:rFonts w:ascii="Arial;sans-serif" w:hAnsi="Arial;sans-serif"/>
          <w:b w:val="false"/>
          <w:i/>
          <w:color w:val="000000"/>
          <w:sz w:val="22"/>
        </w:rPr>
        <w:t>Magic</w:t>
      </w:r>
      <w:r>
        <w:rPr>
          <w:color w:val="000000"/>
        </w:rPr>
        <w:t xml:space="preserve"> </w:t>
      </w:r>
      <w:r>
        <w:rPr>
          <w:rFonts w:ascii="Arial;sans-serif" w:hAnsi="Arial;sans-serif"/>
          <w:b w:val="false"/>
          <w:color w:val="000000"/>
          <w:sz w:val="22"/>
        </w:rPr>
        <w:t xml:space="preserve">flywheel is firing on all cylinders.”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quarter's broad-based strength across the business gives us the conviction to raise our full-year guidance," said Gina Goetter, Hasbro Chief Financial Officer and Chief Operating Officer. "Moving forward we are leaning into our $1B share repurchase authorization as we continue to balance investment in the business with returning cash to shareholders."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Second Quarter 2026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Hasbro, Inc.'s revenue increased 16% vs. LY, driven by growth in Wizards and Digital Gaming (+27%) and Consumer Products (+5%), partially offset by a decline in Entertainment (-20%).</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Operating profit was $253 million and Adjusted operating profit was $282 million, (+14% vs. LY) reflecting topline momentum and favorable mix.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Results include a $56 million impairment related to the Company's refocused Digital Games portfolio for 2028 and beyond.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Reported net earnings were $1.12 per diluted share and Adjusted net earnings per diluted share were $1.28.</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Returned $133 million to shareholders through the quarterly dividend and share repurchases.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During the quarter, the Company deployed $55 million toward debt reduction.</w:t>
      </w:r>
    </w:p>
    <w:p>
      <w:pPr>
        <w:pStyle w:val="TextBody"/>
        <w:bidi w:val="0"/>
        <w:spacing w:before="60" w:after="283"/>
        <w:jc w:val="both"/>
        <w:rPr/>
      </w:pPr>
      <w:r>
        <w:rPr/>
      </w:r>
    </w:p>
    <w:p>
      <w:pPr>
        <w:pStyle w:val="TextBody"/>
        <w:bidi w:val="0"/>
        <w:spacing w:lineRule="auto" w:line="288" w:before="60" w:after="283"/>
        <w:jc w:val="both"/>
        <w:rPr/>
      </w:pPr>
      <w:r>
        <w:rPr>
          <w:rFonts w:ascii="Arial;sans-serif" w:hAnsi="Arial;sans-serif"/>
          <w:b/>
          <w:color w:val="000000"/>
          <w:sz w:val="22"/>
        </w:rPr>
        <w:t>Second</w:t>
      </w:r>
      <w:r>
        <w:rPr>
          <w:color w:val="000000"/>
          <w:shd w:fill="FFFFFF" w:val="clear"/>
        </w:rPr>
        <w:t xml:space="preserve"> </w:t>
      </w:r>
      <w:r>
        <w:rPr>
          <w:rFonts w:ascii="Arial;sans-serif" w:hAnsi="Arial;sans-serif"/>
          <w:b/>
          <w:color w:val="000000"/>
          <w:sz w:val="22"/>
          <w:shd w:fill="FFFFFF" w:val="clear"/>
        </w:rPr>
        <w:t>Quarter 2026 Segment Details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2"/>
        </w:rPr>
        <w:t xml:space="preserve">Wizards and Digital Gaming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increased 27%, led by </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(+32%). Digital and licensed gaming grew 17%.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growth fueled by </w:t>
      </w:r>
      <w:r>
        <w:rPr>
          <w:rFonts w:ascii="Arial;sans-serif" w:hAnsi="Arial;sans-serif"/>
          <w:b w:val="false"/>
          <w:i/>
          <w:color w:val="000000"/>
          <w:sz w:val="22"/>
        </w:rPr>
        <w:t>Secrets of Strixhaven</w:t>
      </w:r>
      <w:r>
        <w:rPr>
          <w:color w:val="000000"/>
        </w:rPr>
        <w:t xml:space="preserve"> </w:t>
      </w:r>
      <w:r>
        <w:rPr>
          <w:rFonts w:ascii="Arial;sans-serif" w:hAnsi="Arial;sans-serif"/>
          <w:b w:val="false"/>
          <w:color w:val="000000"/>
          <w:sz w:val="22"/>
        </w:rPr>
        <w:t xml:space="preserve">and </w:t>
      </w:r>
      <w:r>
        <w:rPr>
          <w:rFonts w:ascii="Arial;sans-serif" w:hAnsi="Arial;sans-serif"/>
          <w:b w:val="false"/>
          <w:i/>
          <w:color w:val="000000"/>
          <w:sz w:val="22"/>
        </w:rPr>
        <w:t>Marvel Super Heroes</w:t>
      </w:r>
      <w:r>
        <w:rPr>
          <w:rFonts w:ascii="Arial;sans-serif" w:hAnsi="Arial;sans-serif"/>
          <w:b w:val="false"/>
          <w:color w:val="000000"/>
          <w:sz w:val="22"/>
        </w:rPr>
        <w:t>.</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2"/>
        </w:rPr>
        <w:t xml:space="preserve">Monopoly Go! </w:t>
      </w:r>
      <w:r>
        <w:rPr>
          <w:rFonts w:ascii="Arial;sans-serif" w:hAnsi="Arial;sans-serif"/>
          <w:b w:val="false"/>
          <w:color w:val="000000"/>
          <w:sz w:val="22"/>
        </w:rPr>
        <w:t>contributed $44 million of revenue in the second quarter.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Operating profit of $270 million (+12% vs. LY), with a 41% operating margin, includes a $56 million impairment charge related to the Company's refocused Digital Games portfolio offset by favorable benefits from scale and mix.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Consumer Products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Revenues were up 5% in the quarter despite disruption from the previously disclosed unauthorized network access.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Q2 sales benefited from entertainment releases, including </w:t>
      </w:r>
      <w:r>
        <w:rPr>
          <w:rFonts w:ascii="Arial;sans-serif" w:hAnsi="Arial;sans-serif"/>
          <w:b w:val="false"/>
          <w:i/>
          <w:color w:val="000000"/>
          <w:sz w:val="22"/>
        </w:rPr>
        <w:t>Star Wars: The Mandalorian and Grogu</w:t>
      </w:r>
      <w:r>
        <w:rPr>
          <w:rFonts w:ascii="Arial;sans-serif" w:hAnsi="Arial;sans-serif"/>
          <w:b w:val="false"/>
          <w:color w:val="000000"/>
          <w:sz w:val="22"/>
        </w:rPr>
        <w:t>, and momentum in GEM</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categories.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loss of $15 million and Adjusted operating loss of $8 million (NM vs. LY) reflects incremental tariff expense, entertainment-related mix shifts, and normal seasonality.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Entertainment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decline of 20% related to the nature and timing of deals.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Operating profit of $6 million and Adjusted operating profit of $9 million down 15% primarily due to timing. </w:t>
      </w:r>
    </w:p>
    <w:p>
      <w:pPr>
        <w:pStyle w:val="TextBody"/>
        <w:bidi w:val="0"/>
        <w:spacing w:before="60" w:after="283"/>
        <w:jc w:val="left"/>
        <w:rPr/>
      </w:pPr>
      <w:r>
        <w:rPr/>
      </w:r>
    </w:p>
    <w:p>
      <w:pPr>
        <w:pStyle w:val="TextBody"/>
        <w:bidi w:val="0"/>
        <w:spacing w:lineRule="auto" w:line="276" w:before="0" w:after="0"/>
        <w:jc w:val="both"/>
        <w:rPr>
          <w:rFonts w:ascii="Arial;sans-serif" w:hAnsi="Arial;sans-serif"/>
          <w:b/>
          <w:color w:val="000000"/>
          <w:sz w:val="22"/>
          <w:shd w:fill="FFFFFF" w:val="clear"/>
        </w:rPr>
      </w:pPr>
      <w:r>
        <w:rPr>
          <w:rFonts w:ascii="Arial;sans-serif" w:hAnsi="Arial;sans-serif"/>
          <w:b/>
          <w:color w:val="000000"/>
          <w:sz w:val="22"/>
          <w:shd w:fill="FFFFFF" w:val="clear"/>
        </w:rPr>
        <w:t>Year-to-Date 2026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Year-to-date Hasbro, Inc. revenue increased 15% vs. LY, driven by growth in Wizards and Digital Gaming (+27%) and Consumer Products (+2%), partially offset by a decline in Entertainment (-22%).</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profit was $523 million and Adjusted operating profit was $569 million, (+21% vs. LY) reflecting a strong topline. Both figures include a $56 million impairment related to the Company's refocused Digital Games portfolio.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Reported net earnings were $2.51 per diluted share and Adjusted net earnings per diluted share were $2.76.</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Returned $239 million to shareholders through the quarterly dividend and share repurchases.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During the first half of the year, the Company deployed $147 million toward debt reduction, including the issuance of $400 million of new notes. The proceeds of which will be used to fully repay its November 2026 maturities, with the balance applied to the repurchase of higher-rate, longer-dated securities.</w:t>
      </w:r>
    </w:p>
    <w:p>
      <w:pPr>
        <w:pStyle w:val="TextBody"/>
        <w:bidi w:val="0"/>
        <w:spacing w:before="0" w:after="0"/>
        <w:jc w:val="both"/>
        <w:rPr/>
      </w:pPr>
      <w:r>
        <w:rPr/>
      </w:r>
    </w:p>
    <w:p>
      <w:pPr>
        <w:pStyle w:val="TextBody"/>
        <w:bidi w:val="0"/>
        <w:spacing w:lineRule="auto" w:line="264" w:before="0" w:after="0"/>
        <w:jc w:val="both"/>
        <w:rPr>
          <w:rFonts w:ascii="Arial;sans-serif" w:hAnsi="Arial;sans-serif"/>
          <w:b/>
          <w:color w:val="000000"/>
          <w:sz w:val="22"/>
          <w:shd w:fill="FFFFFF" w:val="clear"/>
        </w:rPr>
      </w:pPr>
      <w:r>
        <w:rPr>
          <w:rFonts w:ascii="Arial;sans-serif" w:hAnsi="Arial;sans-serif"/>
          <w:b/>
          <w:color w:val="000000"/>
          <w:sz w:val="22"/>
          <w:shd w:fill="FFFFFF" w:val="clear"/>
        </w:rPr>
        <w:t>Year-to-Date 2026 Segment Details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2"/>
        </w:rPr>
        <w:t xml:space="preserve">Wizards and Digital Gaming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increased 27%, led by </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(+34%). Digital and licensed gaming grew 10%.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benefited from growth in tabletop and digital revenues, across first-party and Universes Beyond Premiere sets, along with momentum in Secret Lair &amp; Backlist.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Year-to-date </w:t>
      </w:r>
      <w:r>
        <w:rPr>
          <w:rFonts w:ascii="Arial;sans-serif" w:hAnsi="Arial;sans-serif"/>
          <w:b w:val="false"/>
          <w:i/>
          <w:color w:val="000000"/>
          <w:sz w:val="22"/>
        </w:rPr>
        <w:t>Monopoly Go!</w:t>
      </w:r>
      <w:r>
        <w:rPr>
          <w:color w:val="000000"/>
        </w:rPr>
        <w:t xml:space="preserve"> </w:t>
      </w:r>
      <w:r>
        <w:rPr>
          <w:rFonts w:ascii="Arial;sans-serif" w:hAnsi="Arial;sans-serif"/>
          <w:b w:val="false"/>
          <w:color w:val="000000"/>
          <w:sz w:val="22"/>
        </w:rPr>
        <w:t>contributed $86 million of revenue.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Operating profit of $568 million (+20% vs. LY), with a 46% operating margin, includes a $56 million impairment related to the Company's refocused Digital Games portfolio.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Consumer Products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Revenues increased 2% as momentum in GEM</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 xml:space="preserve">categories and entertainment more than offset disruptions related to the previously disclosed unauthorized network access. Growth across key brands including </w:t>
      </w:r>
      <w:r>
        <w:rPr>
          <w:rFonts w:ascii="Arial;sans-serif" w:hAnsi="Arial;sans-serif"/>
          <w:b w:val="false"/>
          <w:i/>
          <w:color w:val="000000"/>
          <w:sz w:val="22"/>
        </w:rPr>
        <w:t>Star Wars</w:t>
      </w:r>
      <w:r>
        <w:rPr>
          <w:rFonts w:ascii="Arial;sans-serif" w:hAnsi="Arial;sans-serif"/>
          <w:b w:val="false"/>
          <w:color w:val="000000"/>
          <w:sz w:val="22"/>
        </w:rPr>
        <w:t xml:space="preserve">, </w:t>
      </w:r>
      <w:r>
        <w:rPr>
          <w:rFonts w:ascii="Arial;sans-serif" w:hAnsi="Arial;sans-serif"/>
          <w:b w:val="false"/>
          <w:i/>
          <w:color w:val="000000"/>
          <w:sz w:val="22"/>
        </w:rPr>
        <w:t>Marvel</w:t>
      </w:r>
      <w:r>
        <w:rPr>
          <w:rFonts w:ascii="Arial;sans-serif" w:hAnsi="Arial;sans-serif"/>
          <w:b w:val="false"/>
          <w:color w:val="000000"/>
          <w:sz w:val="22"/>
        </w:rPr>
        <w:t xml:space="preserve">, </w:t>
      </w:r>
      <w:r>
        <w:rPr>
          <w:rFonts w:ascii="Arial;sans-serif" w:hAnsi="Arial;sans-serif"/>
          <w:b w:val="false"/>
          <w:i/>
          <w:color w:val="000000"/>
          <w:sz w:val="22"/>
        </w:rPr>
        <w:t>Peppa Pig</w:t>
      </w:r>
      <w:r>
        <w:rPr>
          <w:rFonts w:ascii="Arial;sans-serif" w:hAnsi="Arial;sans-serif"/>
          <w:b w:val="false"/>
          <w:color w:val="000000"/>
          <w:sz w:val="22"/>
        </w:rPr>
        <w:t xml:space="preserve">, and </w:t>
      </w:r>
      <w:r>
        <w:rPr>
          <w:rFonts w:ascii="Arial;sans-serif" w:hAnsi="Arial;sans-serif"/>
          <w:b w:val="false"/>
          <w:i/>
          <w:color w:val="000000"/>
          <w:sz w:val="22"/>
        </w:rPr>
        <w:t>G.I. Joe</w:t>
      </w:r>
      <w:r>
        <w:rPr>
          <w:rFonts w:ascii="Arial;sans-serif" w:hAnsi="Arial;sans-serif"/>
          <w:b w:val="false"/>
          <w:color w:val="000000"/>
          <w:sz w:val="22"/>
        </w:rPr>
        <w: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loss of $62 million reflecting normal seasonality and cyber-related impacts.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Adjusted operating loss of $48 million reflects year-over-year tariff expense, timing-related sales disruptions from the unauthorized network access, and royalty expense tied to entertainment releases.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Entertainment Segment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decline of 22% related to the nature and timing of deals.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Operating profit of $23 million and Adjusted operating profit of $29 million up 5% primarily due to lower royalty expense. </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i/>
          <w:color w:val="000000"/>
          <w:sz w:val="22"/>
        </w:rPr>
      </w:pPr>
      <w:r>
        <w:rPr>
          <w:rFonts w:ascii="Arial;sans-serif" w:hAnsi="Arial;sans-serif"/>
          <w:b w:val="false"/>
          <w:i/>
          <w:color w:val="000000"/>
          <w:sz w:val="22"/>
        </w:rPr>
        <w:t>See the financial tables accompanying the press release for a reconciliation of GAAP to 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shd w:fill="FFFFFF" w:val="clear"/>
        </w:rPr>
      </w:pPr>
      <w:r>
        <w:rPr>
          <w:rFonts w:ascii="Arial;sans-serif" w:hAnsi="Arial;sans-serif"/>
          <w:b/>
          <w:color w:val="000000"/>
          <w:sz w:val="22"/>
          <w:u w:val="single"/>
          <w:shd w:fill="FFFFFF" w:val="clear"/>
        </w:rPr>
        <w:t xml:space="preserve">2026 Company Outlook and Capital Allocation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the full year, the Company now expects: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Total Hasbro revenue up 5-7% in constant currency (previously up 3-5% in constant currency)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Adjusted operating margin of 25-26% (previously 24-25%)</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Adjusted EBITDA of $1.45 billion to $1.50 billion (previously $1.40 billion to $1.45 billion) </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2"/>
        </w:rPr>
      </w:pPr>
      <w:r>
        <w:rPr>
          <w:rFonts w:ascii="Arial;sans-serif" w:hAnsi="Arial;sans-serif"/>
          <w:b w:val="false"/>
          <w:color w:val="000000"/>
          <w:sz w:val="22"/>
        </w:rPr>
        <w:t>2026 Capital Allocation priorities: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Invest in core business.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Return cash to shareholders through dividends and share repurchases.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Continue to pay down debt.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Update on Previously Disclosed Unauthorized Network Access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In late March 2026, the Company identified unauthorized access to its network, which resulted in disruptions to business operations throughout the second quarter. The Company has since returned to pre-incident order processing, shipping, and invoicing practices.</w:t>
      </w:r>
    </w:p>
    <w:p>
      <w:pPr>
        <w:pStyle w:val="TextBody"/>
        <w:bidi w:val="0"/>
        <w:spacing w:lineRule="auto" w:line="276" w:before="180" w:after="283"/>
        <w:jc w:val="both"/>
        <w:rPr>
          <w:rFonts w:ascii="Arial;sans-serif" w:hAnsi="Arial;sans-serif"/>
          <w:b w:val="false"/>
          <w:color w:val="000000"/>
          <w:sz w:val="22"/>
        </w:rPr>
      </w:pPr>
      <w:r>
        <w:rPr>
          <w:rFonts w:ascii="Arial;sans-serif" w:hAnsi="Arial;sans-serif"/>
          <w:b w:val="false"/>
          <w:color w:val="000000"/>
          <w:sz w:val="22"/>
        </w:rPr>
        <w:t xml:space="preserve">Direct incremental expenses related to the unauthorized access were $11 million during the three and six months ended June 28, 2026, and the revenue impact on the business was estimated at approximately $25 million. The Company expects to incur additional costs related to the incident in future periods.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The Company did not recognize any insurance proceeds during the three months ended June 28, 2026 related to the unauthorized network access. The timing of recognizing insurance recoveries, if any, may differ from the timing of recognizing the associated expenses.</w:t>
      </w:r>
    </w:p>
    <w:p>
      <w:pPr>
        <w:pStyle w:val="TextBody"/>
        <w:bidi w:val="0"/>
        <w:spacing w:lineRule="auto" w:line="288" w:before="180" w:after="283"/>
        <w:ind w:left="0" w:right="0" w:hanging="720"/>
        <w:jc w:val="both"/>
        <w:rPr>
          <w:rFonts w:ascii="Arial;sans-serif" w:hAnsi="Arial;sans-serif"/>
          <w:b/>
          <w:color w:val="000000"/>
          <w:sz w:val="22"/>
          <w:u w:val="single"/>
        </w:rPr>
      </w:pPr>
      <w:r>
        <w:rPr>
          <w:rFonts w:ascii="Arial;sans-serif" w:hAnsi="Arial;sans-serif"/>
          <w:b/>
          <w:color w:val="000000"/>
          <w:sz w:val="22"/>
          <w:u w:val="single"/>
        </w:rPr>
        <w:t>Dividend Announcement</w:t>
      </w:r>
    </w:p>
    <w:p>
      <w:pPr>
        <w:pStyle w:val="TextBody"/>
        <w:bidi w:val="0"/>
        <w:spacing w:lineRule="auto" w:line="288" w:before="180" w:after="283"/>
        <w:jc w:val="both"/>
        <w:rPr/>
      </w:pPr>
      <w:r>
        <w:rPr>
          <w:rFonts w:ascii="Arial;sans-serif" w:hAnsi="Arial;sans-serif"/>
          <w:b w:val="false"/>
          <w:color w:val="000000"/>
          <w:sz w:val="22"/>
        </w:rPr>
        <w:t>During the second quarter, the Company paid $99 million in cash dividends to shareholders. The Board of Directors has declared a quarterly cash dividend of $0.70 per common share payable on September 2</w:t>
      </w:r>
      <w:r>
        <w:rPr>
          <w:rFonts w:ascii="Arial;sans-serif" w:hAnsi="Arial;sans-serif"/>
          <w:b w:val="false"/>
          <w:color w:val="000000"/>
          <w:sz w:val="14"/>
        </w:rPr>
        <w:t>nd</w:t>
      </w:r>
      <w:r>
        <w:rPr>
          <w:color w:val="000000"/>
        </w:rPr>
        <w:t xml:space="preserve"> </w:t>
      </w:r>
      <w:r>
        <w:rPr>
          <w:rFonts w:ascii="Arial;sans-serif" w:hAnsi="Arial;sans-serif"/>
          <w:b w:val="false"/>
          <w:color w:val="000000"/>
          <w:sz w:val="22"/>
        </w:rPr>
        <w:t>, 2026, to shareholders of record at the close of business on August 19</w:t>
      </w:r>
      <w:r>
        <w:rPr>
          <w:rFonts w:ascii="Arial;sans-serif" w:hAnsi="Arial;sans-serif"/>
          <w:b w:val="false"/>
          <w:color w:val="000000"/>
          <w:sz w:val="14"/>
        </w:rPr>
        <w:t>th</w:t>
      </w:r>
      <w:r>
        <w:rPr>
          <w:rFonts w:ascii="Arial;sans-serif" w:hAnsi="Arial;sans-serif"/>
          <w:b w:val="false"/>
          <w:color w:val="000000"/>
          <w:sz w:val="22"/>
        </w:rPr>
        <w:t>, 2026.</w:t>
      </w:r>
      <w:r>
        <w:rPr>
          <w:color w:val="000000"/>
        </w:rPr>
        <w:t xml:space="preserve"> </w:t>
      </w:r>
    </w:p>
    <w:p>
      <w:pPr>
        <w:pStyle w:val="TextBody"/>
        <w:bidi w:val="0"/>
        <w:spacing w:lineRule="auto" w:line="288" w:before="180" w:after="283"/>
        <w:jc w:val="both"/>
        <w:rPr>
          <w:rFonts w:ascii="Arial;sans-serif" w:hAnsi="Arial;sans-serif"/>
          <w:b/>
          <w:color w:val="000000"/>
          <w:sz w:val="22"/>
          <w:u w:val="single"/>
        </w:rPr>
      </w:pPr>
      <w:r>
        <w:rPr>
          <w:rFonts w:ascii="Arial;sans-serif" w:hAnsi="Arial;sans-serif"/>
          <w:b/>
          <w:color w:val="000000"/>
          <w:sz w:val="22"/>
          <w:u w:val="single"/>
        </w:rPr>
        <w:t xml:space="preserve">Conference Call Webcast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Hasbro will webcast its second quarter 2026 earnings conference call at 8:30 a.m. Eastern Time today. To listen to the live webcast and access the accompanying presentation slides, please go to https://investor.hasbro.com. The replay of the call will be available on Hasbro’s website approximately 2 hours following completion of the call.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About Hasbro</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Hasbro is a leading games, IP and toy company whose mission is to create joy and community through the magic of play. With 165 years of expertise, Hasbro delivers groundbreaking play experiences and reaches more than 1 billion fans annually around the world, through physical and digital games, video games, toys, licensed consumer products, location-based entertainment, film, TV and more. </w:t>
      </w:r>
    </w:p>
    <w:p>
      <w:pPr>
        <w:pStyle w:val="TextBody"/>
        <w:bidi w:val="0"/>
        <w:spacing w:lineRule="auto" w:line="288" w:before="180" w:after="283"/>
        <w:jc w:val="both"/>
        <w:rPr/>
      </w:pPr>
      <w:r>
        <w:rPr>
          <w:rFonts w:ascii="Arial;sans-serif" w:hAnsi="Arial;sans-serif"/>
          <w:b w:val="false"/>
          <w:color w:val="000000"/>
          <w:sz w:val="22"/>
        </w:rPr>
        <w:t xml:space="preserve">Through its franchise-first approach, Hasbro unlocks value from both new and legacy IP, including </w:t>
      </w:r>
      <w:r>
        <w:rPr>
          <w:rFonts w:ascii="Arial;sans-serif" w:hAnsi="Arial;sans-serif"/>
          <w:b w:val="false"/>
          <w:i/>
          <w:color w:val="000000"/>
          <w:sz w:val="22"/>
        </w:rPr>
        <w:t>Magic: The Gathering, Dungeons &amp; Dragons, Monopoly, Hasbro Games, Nerf, Transformers, Play-Doh</w:t>
      </w:r>
      <w:r>
        <w:rPr>
          <w:color w:val="000000"/>
        </w:rPr>
        <w:t xml:space="preserve"> </w:t>
      </w:r>
      <w:r>
        <w:rPr>
          <w:rFonts w:ascii="Arial;sans-serif" w:hAnsi="Arial;sans-serif"/>
          <w:b w:val="false"/>
          <w:color w:val="000000"/>
          <w:sz w:val="22"/>
        </w:rPr>
        <w:t xml:space="preserve">and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Arial;sans-serif" w:hAnsi="Arial;sans-serif"/>
          <w:b w:val="false"/>
          <w:i/>
          <w:color w:val="000000"/>
          <w:sz w:val="22"/>
        </w:rPr>
        <w:t>Peppa Pig,</w:t>
      </w:r>
      <w:r>
        <w:rPr>
          <w:color w:val="000000"/>
        </w:rPr>
        <w:t xml:space="preserve"> </w:t>
      </w:r>
      <w:r>
        <w:rPr>
          <w:rFonts w:ascii="Arial;sans-serif" w:hAnsi="Arial;sans-serif"/>
          <w:b w:val="false"/>
          <w:color w:val="000000"/>
          <w:sz w:val="22"/>
        </w:rPr>
        <w:t xml:space="preserve">as well as premier partner brands. Powered by its portfolio of thousands of iconic marks and a diversified network of partners and subsidiary studios, Hasbro brings fans together wherever they are, from tabletop to screen. </w:t>
      </w:r>
    </w:p>
    <w:p>
      <w:pPr>
        <w:pStyle w:val="TextBody"/>
        <w:bidi w:val="0"/>
        <w:spacing w:lineRule="auto" w:line="288" w:before="180" w:after="283"/>
        <w:jc w:val="left"/>
        <w:rPr/>
      </w:pPr>
      <w:r>
        <w:rPr>
          <w:rFonts w:ascii="Arial;sans-serif" w:hAnsi="Arial;sans-serif"/>
          <w:b w:val="false"/>
          <w:color w:val="000000"/>
          <w:sz w:val="22"/>
        </w:rPr>
        <w:t xml:space="preserve">For more than a decade, Hasbro has been consistently recognized for its corporate citizenship, including being named one of the 100 Best Corporate Citizens by 3BL Media, a 2026 JUST Capital Industry Leader, a Brand that Matters by Fast Company, and one of the 50 Most Community-Minded Companies in the U.S. by the Civic 50 for fourteen consecutive years. For more information, visit </w:t>
      </w:r>
      <w:r>
        <w:rPr>
          <w:rFonts w:ascii="Arial;sans-serif" w:hAnsi="Arial;sans-serif"/>
          <w:b w:val="false"/>
          <w:color w:val="0000FF"/>
          <w:sz w:val="22"/>
        </w:rPr>
        <w:t>https://corporate.hasbro.com</w:t>
      </w:r>
      <w:r>
        <w:rPr>
          <w:color w:val="000000"/>
        </w:rPr>
        <w:t xml:space="preserve"> </w:t>
      </w:r>
      <w:r>
        <w:rPr>
          <w:rFonts w:ascii="Arial;sans-serif" w:hAnsi="Arial;sans-serif"/>
          <w:b w:val="false"/>
          <w:color w:val="000000"/>
          <w:sz w:val="22"/>
        </w:rPr>
        <w:t xml:space="preserve">or follow Hasbro on LinkedIn.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 xml:space="preserve">© 2026 Hasbro, Inc. All Rights Reserved. </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212529"/>
          <w:sz w:val="22"/>
        </w:rPr>
      </w:pPr>
      <w:r>
        <w:rPr>
          <w:rFonts w:ascii="Arial;sans-serif" w:hAnsi="Arial;sans-serif"/>
          <w:b/>
          <w:color w:val="212529"/>
          <w:sz w:val="22"/>
        </w:rPr>
        <w:t>Forward Looking Statement Safe Harbor</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Certain statements in this press release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and share repurchases; expected impact of tariffs or refunds thereof; anticipated impact of moving our Rhode Island operations to Boston, Massachusetts; expectations relating to the impact of unauthorized access to the Company’s network, including on our financial condition and results of operations, findings from our investigation into the unauthorized access, the effectiveness of our containment and remediation efforts, costs and expenses and any insurance recoveries; and financial guidance and targets and expectations for our future performance. Our actual actions or results may differ materially from those expected or anticipated in the forward-looking statements due to both known and unknown risks and uncertainties.</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Factors that might cause such a difference include, but are not limited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 xml:space="preserve">our ability to successfully implement and execute on our </w:t>
      </w:r>
      <w:r>
        <w:rPr>
          <w:rFonts w:ascii="Arial;sans-serif" w:hAnsi="Arial;sans-serif"/>
          <w:b w:val="false"/>
          <w:i/>
          <w:color w:val="000000"/>
          <w:sz w:val="24"/>
        </w:rPr>
        <w:t>Playing to Win</w:t>
      </w:r>
      <w:r>
        <w:rPr>
          <w:color w:val="000000"/>
        </w:rPr>
        <w:t xml:space="preserve"> </w:t>
      </w:r>
      <w:r>
        <w:rPr>
          <w:rFonts w:ascii="Arial;sans-serif" w:hAnsi="Arial;sans-serif"/>
          <w:b w:val="false"/>
          <w:color w:val="000000"/>
          <w:sz w:val="22"/>
        </w:rPr>
        <w:t>business strategy;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successfully compete in the play industry and further develop our digital gaming, licensing and consumer products businesses and partnerships;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 xml:space="preserve">our ability to continually introduce new and innovative products that are accepted by consumers, particularly for brands such as </w:t>
      </w:r>
      <w:r>
        <w:rPr>
          <w:rFonts w:ascii="Arial;sans-serif" w:hAnsi="Arial;sans-serif"/>
          <w:b w:val="false"/>
          <w:i/>
          <w:color w:val="000000"/>
          <w:sz w:val="24"/>
        </w:rPr>
        <w:t>Magic: The Gathering</w:t>
      </w:r>
      <w:r>
        <w:rPr>
          <w:color w:val="000000"/>
        </w:rPr>
        <w:t xml:space="preserve"> </w:t>
      </w:r>
      <w:r>
        <w:rPr>
          <w:rFonts w:ascii="Arial;sans-serif" w:hAnsi="Arial;sans-serif"/>
          <w:b w:val="false"/>
          <w:color w:val="000000"/>
          <w:sz w:val="22"/>
        </w:rPr>
        <w:t>in which we have seen an increasing concentration of our sales and profits;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associated with the imposition, threat, or uncertainty of tariffs, including any possible refunds of tariffs, in markets in which we operate; imposition of tariffs could increase our product costs and other costs of doing business, result in higher prices of our products, impact consumer spending, lower our revenues, result in delays or reductions in purchases from our customers, result in goodwill impairments, reduce earnings and otherwise have an adverse impact on our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associated with international operations, such as: conflict in territories in which we operate or which affect areas in which we operate such as the current activities in Iran; currency conversion; currency fluctuations; quotas; shipping delays or difficulties; border adjustment taxes or other protectionist measures; and other challenges in the territories in which we operate;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 or disruption to our business or ability to protect our assets and intellectual property, including as a result of infringement, theft, misappropriation, cyber-attacks or other acts compromising the integrity of our assets or intellectual property or systems;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 xml:space="preserve">risks associated with unauthorized access to our network we recently experienced, including the duration and magnitude of operational disruption; the effectiveness of our response to such unauthorized access and the business continuity plans and the ongoing assessment of the impact of such unauthorized access on our business, operations, financial results, and financial reporting;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val="false"/>
          <w:color w:val="000000"/>
          <w:sz w:val="22"/>
        </w:rPr>
      </w:pPr>
      <w:r>
        <w:rPr>
          <w:rFonts w:ascii="Arial;sans-serif" w:hAnsi="Arial;sans-serif"/>
          <w:b w:val="false"/>
          <w:color w:val="000000"/>
          <w:sz w:val="22"/>
        </w:rPr>
        <w:t>and any further business disruptions from such unauthorized access and increased costs relating to such unauthorized access, including from any legal proceedings;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related to political, economic and public health conditions or regulatory changes in the markets in which we and our customers, partners, licensees, suppliers and manufacturers operate, such as inflation, fluctuating interest rates, tariffs, higher commodity prices,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uncertain and unpredictable global and regional economic conditions impacting one or more of the markets in which we sell products, which can result in higher prices for our products or consumer necessities and can otherwise negatively impact our customers and consumers, result in lower employment levels, consumer discretionary income, retailer inventories and spending, including lower spending on purchases of our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transform our business and capabilities to address the changing global consumer landscape, including evolving demographics for our products and advancements in emerging technologies, such as the integration of artificial intelligence into our product development, marketing strategies, and consumer engagement, and the associated risks such as ethical concerns, evolving regulatory standards, implementation challenges, and third-party dependencies on such technologies;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design, develop, manufacture, and ship products on a timely, cost-effective and profitable basis;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concentration of our customers, potentially increasing the negative impact to our business of difficulties experienced by any of our customers or changes in their purchasing or selling patterns;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dependence on third-party relationships, including with third-party partners, manufacturers, distributors, studios, content producers, licensors, licensees, and outsourcers, which creates reliance on others and loss of control;</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relating to the concentration of manufacturing for many of our products in the People’s Republic of China, which include the risks associated with increased tariffs imposed on trade between China and the U.S., and our ability to successfully diversify sourcing of our products to reduce reliance on sources of supply in China;</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attract and retain talented and diverse employees;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business could be adversely affected by challenges and disruptions arising from the loss of skills, knowledge or expertise, and from uncertainty regarding the continued employment of key personnel, particularly as a result of recent workforce reductions and the planned relocation of our Rhode Island operations to Boston, Massachusetts;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realize the benefits of cost-savings and efficiency and/or revenue and operating profit enhancing initiatives;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relating to the impairment and/or write-offs related to businesses, products and/or content we acquire and/or produce;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risk that acquisitions, dispositions and other investments we complete may not provide us with the benefits we expect, or the realization of such benefits may be significantly delayed or reduced;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fluctuations in our business due to seasonality;</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risk of product recalls or product liability suits and costs associated with product safety regulations;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impact of litigation or arbitration decisions or settlement actions;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bankruptcy or other lack of success of one or more of our significant retailers, licensees and other partners;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other risks and uncertainties as may be detailed in our public announcements and U.S. Securities and Exchange Commission (“SEC”) filings.</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The statements contained herein are based on our current beliefs and expectations. We undertake no obligation to make any revisions to the forward-looking statements contained in this press release or to update them to reflect events or circumstances occurring after the date of this press release.</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The financial tables accompanying this press release include non-GAAP financial measures as defined under SEC rules, specifically Adjusted operating profit, Adjusted operating margin, Adjusted net earnings and Adjusted net earnings per diluted share, which exclude, where applicable, acquired intangible amortization, strategic transformation initiatives, restructuring and severance costs, loss on disposal of business, eOne Film and TV business divestiture related costs, non-cash goodwill impairment charges, and the direct costs associated with the unauthorized network access. Also included in this press release are the non-GAAP financial measures of EBITDA and Adjusted EBITDA. EBITDA represents net earnings attributable to Hasbro, Inc. excluding interest expense, income tax expense, net earnings attributable to noncontrolling interests, depreciation and amortization of intangibles. Adjusted EBITDA also excludes strategic transformation initiatives, restructuring and severance costs, loss on disposal of business, eOne Film and TV business divestiture related costs, non-cash goodwill impairment charges, direct costs associated with the unauthorized network access, and the impact of stock compensation. As required by SEC rules, we have provided reconciliations on the attached schedules of these measures to the most directly comparable GAAP measure. Management believes that Adjusted net earnings, Adjusted net earnings per diluted share, Adjusted operating profit and Adjusted operating margin provide investors with an understanding of the underlying performance of our business absent unusual events. Management believes that EBITDA and Adjusted EBITDA are appropriate measures for evaluating the operating performance of our business because they reflect the resources available for strategic opportunities including, among others, to invest in the business, strengthen the balance sheet and make strategic acquisitions. The Company is not able to reconcile its forward-looking non-GAAP adjusted operating margin and adjusted EBITDA measures because the Company cannot predict with certainty the timing and amounts of discrete items such as charges associated with its cost-savings program, which could impact GAAP results. Constant currency is also a non-GAAP financial measure. The impact of changes in foreign currency exchange rates used to translate the consolidated statements of operations is quantified by translating the current or future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HAS-E</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Investors: Fred Wightman | Hasbro, Inc. | hasbro_investor_relations@hasbro.com</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Media: Abby Hodes | Hasbro, Inc. | communications@hasbro.com</w:t>
      </w:r>
    </w:p>
    <w:p>
      <w:pPr>
        <w:pStyle w:val="TextBody"/>
        <w:bidi w:val="0"/>
        <w:spacing w:lineRule="auto" w:line="288" w:before="60" w:after="283"/>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(Tables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CONDENSED CONSOLIDATED BALANCE SHEETS </w:t>
      </w:r>
      <w:r>
        <w:rPr>
          <w:rFonts w:ascii="Arial;sans-serif" w:hAnsi="Arial;sans-serif"/>
          <w:b/>
          <w:color w:val="000000"/>
          <w:sz w:val="16"/>
        </w:rPr>
        <w:t>(1)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p>
      <w:pPr>
        <w:pStyle w:val="TextBody"/>
        <w:bidi w:val="0"/>
        <w:spacing w:before="0" w:after="0"/>
        <w:jc w:val="center"/>
        <w:rPr/>
      </w:pPr>
      <w:r>
        <w:rPr/>
      </w:r>
    </w:p>
    <w:tbl>
      <w:tblPr>
        <w:tblW w:w="9290" w:type="dxa"/>
        <w:jc w:val="center"/>
        <w:tblInd w:w="0" w:type="dxa"/>
        <w:tblLayout w:type="fixed"/>
        <w:tblCellMar>
          <w:top w:w="28" w:type="dxa"/>
          <w:left w:w="28" w:type="dxa"/>
          <w:bottom w:w="28" w:type="dxa"/>
          <w:right w:w="28" w:type="dxa"/>
        </w:tblCellMar>
      </w:tblPr>
      <w:tblGrid>
        <w:gridCol w:w="1981"/>
        <w:gridCol w:w="1734"/>
        <w:gridCol w:w="1744"/>
        <w:gridCol w:w="325"/>
        <w:gridCol w:w="1183"/>
        <w:gridCol w:w="167"/>
        <w:gridCol w:w="141"/>
        <w:gridCol w:w="141"/>
        <w:gridCol w:w="141"/>
        <w:gridCol w:w="323"/>
        <w:gridCol w:w="1175"/>
        <w:gridCol w:w="235"/>
      </w:tblGrid>
      <w:tr>
        <w:trPr/>
        <w:tc>
          <w:tcPr>
            <w:tcW w:w="198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ASSETS</w:t>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cash equivalents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1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2,041.2 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6,037.2 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5,174.4 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LIABILITIES, NONCONTROLLING INTERESTS AND SHAREHOLDERS' EQUITY</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liabilities</w:t>
            </w:r>
          </w:p>
        </w:tc>
        <w:tc>
          <w:tcPr>
            <w:tcW w:w="1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1,227.8 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Long-term debt </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liabilities</w:t>
            </w:r>
          </w:p>
        </w:tc>
        <w:tc>
          <w:tcPr>
            <w:tcW w:w="1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5,306.9 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4,904.7 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shareholders' equity </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liabilities, noncontrolling interests and shareholders' equity</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6,037.2 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5,174.4 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may not sum due to rounding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CONSOLIDATED STATEMENTS OF OPERATIONS </w:t>
      </w:r>
      <w:r>
        <w:rPr>
          <w:rFonts w:ascii="Arial;sans-serif" w:hAnsi="Arial;sans-serif"/>
          <w:b/>
          <w:color w:val="000000"/>
          <w:sz w:val="16"/>
        </w:rPr>
        <w:t>(1)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 and Shares Except Per Share Data)</w:t>
      </w:r>
    </w:p>
    <w:tbl>
      <w:tblPr>
        <w:tblW w:w="11950" w:type="dxa"/>
        <w:jc w:val="left"/>
        <w:tblInd w:w="0" w:type="dxa"/>
        <w:tblLayout w:type="fixed"/>
        <w:tblCellMar>
          <w:top w:w="28" w:type="dxa"/>
          <w:left w:w="28" w:type="dxa"/>
          <w:bottom w:w="28" w:type="dxa"/>
          <w:right w:w="28" w:type="dxa"/>
        </w:tblCellMar>
      </w:tblPr>
      <w:tblGrid>
        <w:gridCol w:w="639"/>
        <w:gridCol w:w="258"/>
        <w:gridCol w:w="259"/>
        <w:gridCol w:w="109"/>
        <w:gridCol w:w="109"/>
        <w:gridCol w:w="109"/>
        <w:gridCol w:w="109"/>
        <w:gridCol w:w="196"/>
        <w:gridCol w:w="691"/>
        <w:gridCol w:w="109"/>
        <w:gridCol w:w="109"/>
        <w:gridCol w:w="109"/>
        <w:gridCol w:w="109"/>
        <w:gridCol w:w="353"/>
        <w:gridCol w:w="203"/>
        <w:gridCol w:w="480"/>
        <w:gridCol w:w="109"/>
        <w:gridCol w:w="109"/>
        <w:gridCol w:w="109"/>
        <w:gridCol w:w="196"/>
        <w:gridCol w:w="571"/>
        <w:gridCol w:w="109"/>
        <w:gridCol w:w="109"/>
        <w:gridCol w:w="109"/>
        <w:gridCol w:w="109"/>
        <w:gridCol w:w="353"/>
        <w:gridCol w:w="203"/>
        <w:gridCol w:w="480"/>
        <w:gridCol w:w="109"/>
        <w:gridCol w:w="109"/>
        <w:gridCol w:w="109"/>
        <w:gridCol w:w="196"/>
        <w:gridCol w:w="691"/>
        <w:gridCol w:w="109"/>
        <w:gridCol w:w="109"/>
        <w:gridCol w:w="109"/>
        <w:gridCol w:w="109"/>
        <w:gridCol w:w="353"/>
        <w:gridCol w:w="203"/>
        <w:gridCol w:w="480"/>
        <w:gridCol w:w="109"/>
        <w:gridCol w:w="109"/>
        <w:gridCol w:w="109"/>
        <w:gridCol w:w="196"/>
        <w:gridCol w:w="691"/>
        <w:gridCol w:w="109"/>
        <w:gridCol w:w="109"/>
        <w:gridCol w:w="109"/>
        <w:gridCol w:w="109"/>
        <w:gridCol w:w="345"/>
        <w:gridCol w:w="211"/>
        <w:gridCol w:w="541"/>
      </w:tblGrid>
      <w:tr>
        <w:trPr/>
        <w:tc>
          <w:tcPr>
            <w:tcW w:w="6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distribution and administration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non-operating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 attributable to Hasbro,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CONDENSED CONSOLIDATED STATEMENTS OF CASH FLOWS </w:t>
      </w:r>
      <w:r>
        <w:rPr>
          <w:rFonts w:ascii="Arial;sans-serif" w:hAnsi="Arial;sans-serif"/>
          <w:b/>
          <w:color w:val="000000"/>
          <w:sz w:val="16"/>
        </w:rPr>
        <w:t xml:space="preserve">(1)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tbl>
      <w:tblPr>
        <w:tblW w:w="8726" w:type="dxa"/>
        <w:jc w:val="center"/>
        <w:tblInd w:w="0" w:type="dxa"/>
        <w:tblLayout w:type="fixed"/>
        <w:tblCellMar>
          <w:top w:w="28" w:type="dxa"/>
          <w:left w:w="28" w:type="dxa"/>
          <w:bottom w:w="28" w:type="dxa"/>
          <w:right w:w="28" w:type="dxa"/>
        </w:tblCellMar>
      </w:tblPr>
      <w:tblGrid>
        <w:gridCol w:w="2090"/>
        <w:gridCol w:w="1840"/>
        <w:gridCol w:w="1845"/>
        <w:gridCol w:w="291"/>
        <w:gridCol w:w="849"/>
        <w:gridCol w:w="150"/>
        <w:gridCol w:w="109"/>
        <w:gridCol w:w="109"/>
        <w:gridCol w:w="109"/>
        <w:gridCol w:w="266"/>
        <w:gridCol w:w="874"/>
        <w:gridCol w:w="194"/>
      </w:tblGrid>
      <w:tr>
        <w:trPr/>
        <w:tc>
          <w:tcPr>
            <w:tcW w:w="209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capitalized software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adjustments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software development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utilized by investing activities</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(524.6)</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financing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transactions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related to tax withholding for share-based compensation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(utilized) by financing activities</w:t>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may not sum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SEGMENT RESULTS - AS REPORTED AND AS ADJUSTED </w:t>
      </w:r>
      <w:r>
        <w:rPr>
          <w:rFonts w:ascii="Arial;sans-serif" w:hAnsi="Arial;sans-serif"/>
          <w:b/>
          <w:color w:val="000000"/>
          <w:sz w:val="16"/>
        </w:rPr>
        <w:t>(1)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p>
      <w:pPr>
        <w:pStyle w:val="TextBody"/>
        <w:bidi w:val="0"/>
        <w:spacing w:before="0" w:after="0"/>
        <w:jc w:val="center"/>
        <w:rPr/>
      </w:pPr>
      <w:r>
        <w:rPr/>
      </w:r>
    </w:p>
    <w:tbl>
      <w:tblPr>
        <w:tblW w:w="11442" w:type="dxa"/>
        <w:jc w:val="center"/>
        <w:tblInd w:w="0" w:type="dxa"/>
        <w:tblLayout w:type="fixed"/>
        <w:tblCellMar>
          <w:top w:w="28" w:type="dxa"/>
          <w:left w:w="28" w:type="dxa"/>
          <w:bottom w:w="28" w:type="dxa"/>
          <w:right w:w="28" w:type="dxa"/>
        </w:tblCellMar>
      </w:tblPr>
      <w:tblGrid>
        <w:gridCol w:w="363"/>
        <w:gridCol w:w="306"/>
        <w:gridCol w:w="307"/>
        <w:gridCol w:w="109"/>
        <w:gridCol w:w="109"/>
        <w:gridCol w:w="109"/>
        <w:gridCol w:w="211"/>
        <w:gridCol w:w="766"/>
        <w:gridCol w:w="271"/>
        <w:gridCol w:w="109"/>
        <w:gridCol w:w="109"/>
        <w:gridCol w:w="109"/>
        <w:gridCol w:w="255"/>
        <w:gridCol w:w="618"/>
        <w:gridCol w:w="328"/>
        <w:gridCol w:w="109"/>
        <w:gridCol w:w="109"/>
        <w:gridCol w:w="109"/>
        <w:gridCol w:w="211"/>
        <w:gridCol w:w="766"/>
        <w:gridCol w:w="271"/>
        <w:gridCol w:w="109"/>
        <w:gridCol w:w="109"/>
        <w:gridCol w:w="109"/>
        <w:gridCol w:w="211"/>
        <w:gridCol w:w="631"/>
        <w:gridCol w:w="271"/>
        <w:gridCol w:w="109"/>
        <w:gridCol w:w="109"/>
        <w:gridCol w:w="109"/>
        <w:gridCol w:w="211"/>
        <w:gridCol w:w="766"/>
        <w:gridCol w:w="271"/>
        <w:gridCol w:w="109"/>
        <w:gridCol w:w="109"/>
        <w:gridCol w:w="109"/>
        <w:gridCol w:w="211"/>
        <w:gridCol w:w="616"/>
        <w:gridCol w:w="271"/>
        <w:gridCol w:w="109"/>
        <w:gridCol w:w="109"/>
        <w:gridCol w:w="109"/>
        <w:gridCol w:w="299"/>
        <w:gridCol w:w="299"/>
        <w:gridCol w:w="423"/>
      </w:tblGrid>
      <w:tr>
        <w:trPr/>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Total Company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External Net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Wizards of the Coast and Digital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External Net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&gt;-100%</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&gt;100%</w:t>
            </w:r>
          </w:p>
        </w:tc>
      </w:tr>
    </w:tbl>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Amounts may not sum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51"/>
        <w:gridCol w:w="1800"/>
        <w:gridCol w:w="1812"/>
        <w:gridCol w:w="109"/>
        <w:gridCol w:w="109"/>
        <w:gridCol w:w="109"/>
        <w:gridCol w:w="286"/>
        <w:gridCol w:w="835"/>
        <w:gridCol w:w="147"/>
        <w:gridCol w:w="109"/>
        <w:gridCol w:w="109"/>
        <w:gridCol w:w="109"/>
        <w:gridCol w:w="286"/>
        <w:gridCol w:w="835"/>
        <w:gridCol w:w="147"/>
        <w:gridCol w:w="109"/>
        <w:gridCol w:w="109"/>
        <w:gridCol w:w="109"/>
        <w:gridCol w:w="208"/>
        <w:gridCol w:w="208"/>
        <w:gridCol w:w="609"/>
      </w:tblGrid>
      <w:tr>
        <w:trPr/>
        <w:tc>
          <w:tcPr>
            <w:tcW w:w="205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5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Wizards of the Coast and Digital Gaming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5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663.8 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67"/>
        <w:gridCol w:w="1820"/>
        <w:gridCol w:w="1825"/>
        <w:gridCol w:w="109"/>
        <w:gridCol w:w="109"/>
        <w:gridCol w:w="109"/>
        <w:gridCol w:w="280"/>
        <w:gridCol w:w="817"/>
        <w:gridCol w:w="144"/>
        <w:gridCol w:w="109"/>
        <w:gridCol w:w="109"/>
        <w:gridCol w:w="109"/>
        <w:gridCol w:w="280"/>
        <w:gridCol w:w="817"/>
        <w:gridCol w:w="144"/>
        <w:gridCol w:w="109"/>
        <w:gridCol w:w="109"/>
        <w:gridCol w:w="109"/>
        <w:gridCol w:w="210"/>
        <w:gridCol w:w="211"/>
        <w:gridCol w:w="609"/>
      </w:tblGrid>
      <w:tr>
        <w:trPr/>
        <w:tc>
          <w:tcPr>
            <w:tcW w:w="206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5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Consumer Products Segment Net Revenues by Major Geographic 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5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9144" w:type="dxa"/>
        <w:jc w:val="left"/>
        <w:tblInd w:w="0" w:type="dxa"/>
        <w:tblLayout w:type="fixed"/>
        <w:tblCellMar>
          <w:top w:w="28" w:type="dxa"/>
          <w:left w:w="28" w:type="dxa"/>
          <w:bottom w:w="28" w:type="dxa"/>
          <w:right w:w="28" w:type="dxa"/>
        </w:tblCellMar>
      </w:tblPr>
      <w:tblGrid>
        <w:gridCol w:w="1652"/>
        <w:gridCol w:w="1450"/>
        <w:gridCol w:w="1457"/>
        <w:gridCol w:w="109"/>
        <w:gridCol w:w="109"/>
        <w:gridCol w:w="109"/>
        <w:gridCol w:w="327"/>
        <w:gridCol w:w="793"/>
        <w:gridCol w:w="169"/>
        <w:gridCol w:w="109"/>
        <w:gridCol w:w="109"/>
        <w:gridCol w:w="109"/>
        <w:gridCol w:w="327"/>
        <w:gridCol w:w="793"/>
        <w:gridCol w:w="169"/>
        <w:gridCol w:w="109"/>
        <w:gridCol w:w="109"/>
        <w:gridCol w:w="109"/>
        <w:gridCol w:w="210"/>
        <w:gridCol w:w="211"/>
        <w:gridCol w:w="605"/>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Entertainment Segment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8466" w:type="dxa"/>
        <w:jc w:val="left"/>
        <w:tblInd w:w="0" w:type="dxa"/>
        <w:tblLayout w:type="fixed"/>
        <w:tblCellMar>
          <w:top w:w="28" w:type="dxa"/>
          <w:left w:w="28" w:type="dxa"/>
          <w:bottom w:w="28" w:type="dxa"/>
          <w:right w:w="28" w:type="dxa"/>
        </w:tblCellMar>
      </w:tblPr>
      <w:tblGrid>
        <w:gridCol w:w="1408"/>
        <w:gridCol w:w="1237"/>
        <w:gridCol w:w="1239"/>
        <w:gridCol w:w="109"/>
        <w:gridCol w:w="109"/>
        <w:gridCol w:w="109"/>
        <w:gridCol w:w="291"/>
        <w:gridCol w:w="849"/>
        <w:gridCol w:w="150"/>
        <w:gridCol w:w="109"/>
        <w:gridCol w:w="109"/>
        <w:gridCol w:w="109"/>
        <w:gridCol w:w="291"/>
        <w:gridCol w:w="849"/>
        <w:gridCol w:w="150"/>
        <w:gridCol w:w="109"/>
        <w:gridCol w:w="109"/>
        <w:gridCol w:w="109"/>
        <w:gridCol w:w="208"/>
        <w:gridCol w:w="208"/>
        <w:gridCol w:w="605"/>
      </w:tblGrid>
      <w:tr>
        <w:trPr/>
        <w:tc>
          <w:tcPr>
            <w:tcW w:w="14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Supplementary Hasbro Gaming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Magic: The Gathering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Hasbro Total Gaming</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Hasbro Total Gaming includes all gaming revenue, most notably</w:t>
      </w:r>
      <w:r>
        <w:rPr>
          <w:color w:val="000000"/>
        </w:rPr>
        <w:t xml:space="preserve"> </w:t>
      </w:r>
      <w:r>
        <w:rPr>
          <w:rFonts w:ascii="Arial;sans-serif" w:hAnsi="Arial;sans-serif"/>
          <w:b w:val="false"/>
          <w:i/>
          <w:color w:val="000000"/>
          <w:sz w:val="16"/>
        </w:rPr>
        <w:t>Dungeons &amp; Dragons, Magic: The Gathering</w:t>
      </w:r>
      <w:r>
        <w:rPr>
          <w:color w:val="000000"/>
        </w:rPr>
        <w:t xml:space="preserve"> </w:t>
      </w:r>
      <w:r>
        <w:rPr>
          <w:rFonts w:ascii="Arial;sans-serif" w:hAnsi="Arial;sans-serif"/>
          <w:b w:val="false"/>
          <w:color w:val="000000"/>
          <w:sz w:val="16"/>
        </w:rPr>
        <w:t xml:space="preserve">and </w:t>
      </w:r>
      <w:r>
        <w:rPr>
          <w:rFonts w:ascii="Arial;sans-serif" w:hAnsi="Arial;sans-serif"/>
          <w:b w:val="false"/>
          <w:i/>
          <w:color w:val="000000"/>
          <w:sz w:val="16"/>
        </w:rPr>
        <w:t>Hasbro Gaming</w:t>
      </w:r>
      <w:r>
        <w:rPr>
          <w:rFonts w:ascii="Arial;sans-serif" w:hAnsi="Arial;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802"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211"/>
        <w:gridCol w:w="766"/>
        <w:gridCol w:w="271"/>
        <w:gridCol w:w="109"/>
        <w:gridCol w:w="109"/>
        <w:gridCol w:w="109"/>
        <w:gridCol w:w="255"/>
        <w:gridCol w:w="618"/>
        <w:gridCol w:w="328"/>
        <w:gridCol w:w="109"/>
        <w:gridCol w:w="109"/>
        <w:gridCol w:w="109"/>
        <w:gridCol w:w="211"/>
        <w:gridCol w:w="766"/>
        <w:gridCol w:w="271"/>
        <w:gridCol w:w="109"/>
        <w:gridCol w:w="109"/>
        <w:gridCol w:w="109"/>
        <w:gridCol w:w="211"/>
        <w:gridCol w:w="781"/>
        <w:gridCol w:w="271"/>
        <w:gridCol w:w="109"/>
        <w:gridCol w:w="109"/>
        <w:gridCol w:w="109"/>
        <w:gridCol w:w="211"/>
        <w:gridCol w:w="766"/>
        <w:gridCol w:w="271"/>
        <w:gridCol w:w="109"/>
        <w:gridCol w:w="109"/>
        <w:gridCol w:w="109"/>
        <w:gridCol w:w="211"/>
        <w:gridCol w:w="766"/>
        <w:gridCol w:w="271"/>
        <w:gridCol w:w="109"/>
        <w:gridCol w:w="109"/>
        <w:gridCol w:w="109"/>
        <w:gridCol w:w="299"/>
        <w:gridCol w:w="299"/>
        <w:gridCol w:w="423"/>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Total Company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Wizards of the Coast and Digital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&gt;100%</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6"/>
        <w:gridCol w:w="1796"/>
        <w:gridCol w:w="1808"/>
        <w:gridCol w:w="109"/>
        <w:gridCol w:w="109"/>
        <w:gridCol w:w="109"/>
        <w:gridCol w:w="248"/>
        <w:gridCol w:w="902"/>
        <w:gridCol w:w="128"/>
        <w:gridCol w:w="109"/>
        <w:gridCol w:w="109"/>
        <w:gridCol w:w="109"/>
        <w:gridCol w:w="287"/>
        <w:gridCol w:w="837"/>
        <w:gridCol w:w="147"/>
        <w:gridCol w:w="109"/>
        <w:gridCol w:w="109"/>
        <w:gridCol w:w="109"/>
        <w:gridCol w:w="208"/>
        <w:gridCol w:w="208"/>
        <w:gridCol w:w="609"/>
      </w:tblGrid>
      <w:tr>
        <w:trPr/>
        <w:tc>
          <w:tcPr>
            <w:tcW w:w="204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Wizards of the Coast and Digital Gaming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32"/>
        <w:gridCol w:w="1789"/>
        <w:gridCol w:w="1794"/>
        <w:gridCol w:w="109"/>
        <w:gridCol w:w="109"/>
        <w:gridCol w:w="109"/>
        <w:gridCol w:w="279"/>
        <w:gridCol w:w="815"/>
        <w:gridCol w:w="144"/>
        <w:gridCol w:w="109"/>
        <w:gridCol w:w="109"/>
        <w:gridCol w:w="109"/>
        <w:gridCol w:w="279"/>
        <w:gridCol w:w="815"/>
        <w:gridCol w:w="144"/>
        <w:gridCol w:w="109"/>
        <w:gridCol w:w="109"/>
        <w:gridCol w:w="109"/>
        <w:gridCol w:w="217"/>
        <w:gridCol w:w="217"/>
        <w:gridCol w:w="542"/>
        <w:gridCol w:w="157"/>
      </w:tblGrid>
      <w:tr>
        <w:trPr/>
        <w:tc>
          <w:tcPr>
            <w:tcW w:w="203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Consumer Products Segment Net Revenues by Major Geographic 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84" w:type="dxa"/>
        <w:jc w:val="left"/>
        <w:tblInd w:w="0" w:type="dxa"/>
        <w:tblLayout w:type="fixed"/>
        <w:tblCellMar>
          <w:top w:w="28" w:type="dxa"/>
          <w:left w:w="28" w:type="dxa"/>
          <w:bottom w:w="28" w:type="dxa"/>
          <w:right w:w="28" w:type="dxa"/>
        </w:tblCellMar>
      </w:tblPr>
      <w:tblGrid>
        <w:gridCol w:w="1630"/>
        <w:gridCol w:w="1431"/>
        <w:gridCol w:w="1438"/>
        <w:gridCol w:w="109"/>
        <w:gridCol w:w="109"/>
        <w:gridCol w:w="109"/>
        <w:gridCol w:w="327"/>
        <w:gridCol w:w="793"/>
        <w:gridCol w:w="169"/>
        <w:gridCol w:w="109"/>
        <w:gridCol w:w="109"/>
        <w:gridCol w:w="109"/>
        <w:gridCol w:w="327"/>
        <w:gridCol w:w="793"/>
        <w:gridCol w:w="169"/>
        <w:gridCol w:w="109"/>
        <w:gridCol w:w="109"/>
        <w:gridCol w:w="109"/>
        <w:gridCol w:w="210"/>
        <w:gridCol w:w="211"/>
        <w:gridCol w:w="605"/>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Entertainment Segment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8464" w:type="dxa"/>
        <w:jc w:val="left"/>
        <w:tblInd w:w="0" w:type="dxa"/>
        <w:tblLayout w:type="fixed"/>
        <w:tblCellMar>
          <w:top w:w="28" w:type="dxa"/>
          <w:left w:w="28" w:type="dxa"/>
          <w:bottom w:w="28" w:type="dxa"/>
          <w:right w:w="28" w:type="dxa"/>
        </w:tblCellMar>
      </w:tblPr>
      <w:tblGrid>
        <w:gridCol w:w="1408"/>
        <w:gridCol w:w="1237"/>
        <w:gridCol w:w="1239"/>
        <w:gridCol w:w="109"/>
        <w:gridCol w:w="109"/>
        <w:gridCol w:w="109"/>
        <w:gridCol w:w="250"/>
        <w:gridCol w:w="910"/>
        <w:gridCol w:w="129"/>
        <w:gridCol w:w="109"/>
        <w:gridCol w:w="109"/>
        <w:gridCol w:w="109"/>
        <w:gridCol w:w="250"/>
        <w:gridCol w:w="910"/>
        <w:gridCol w:w="129"/>
        <w:gridCol w:w="109"/>
        <w:gridCol w:w="109"/>
        <w:gridCol w:w="109"/>
        <w:gridCol w:w="208"/>
        <w:gridCol w:w="208"/>
        <w:gridCol w:w="605"/>
      </w:tblGrid>
      <w:tr>
        <w:trPr/>
        <w:tc>
          <w:tcPr>
            <w:tcW w:w="14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Supplementary Hasbro Gaming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Magic: The Gathering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Hasbro Total Gaming</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Hasbro Total Gaming includes all gaming revenue, most notably</w:t>
      </w:r>
      <w:r>
        <w:rPr>
          <w:color w:val="000000"/>
        </w:rPr>
        <w:t xml:space="preserve"> </w:t>
      </w:r>
      <w:r>
        <w:rPr>
          <w:rFonts w:ascii="Arial;sans-serif" w:hAnsi="Arial;sans-serif"/>
          <w:b w:val="false"/>
          <w:i/>
          <w:color w:val="000000"/>
          <w:sz w:val="16"/>
        </w:rPr>
        <w:t>Dungeons &amp; Dragons, Magic: The Gathering</w:t>
      </w:r>
      <w:r>
        <w:rPr>
          <w:color w:val="000000"/>
        </w:rPr>
        <w:t xml:space="preserve"> </w:t>
      </w:r>
      <w:r>
        <w:rPr>
          <w:rFonts w:ascii="Arial;sans-serif" w:hAnsi="Arial;sans-serif"/>
          <w:b w:val="false"/>
          <w:color w:val="000000"/>
          <w:sz w:val="16"/>
        </w:rPr>
        <w:t xml:space="preserve">and </w:t>
      </w:r>
      <w:r>
        <w:rPr>
          <w:rFonts w:ascii="Arial;sans-serif" w:hAnsi="Arial;sans-serif"/>
          <w:b w:val="false"/>
          <w:i/>
          <w:color w:val="000000"/>
          <w:sz w:val="16"/>
        </w:rPr>
        <w:t>Hasbro Gaming</w:t>
      </w:r>
      <w:r>
        <w:rPr>
          <w:rFonts w:ascii="Arial;sans-serif" w:hAnsi="Arial;sans-serif"/>
          <w:b w:val="false"/>
          <w:color w:val="000000"/>
          <w:sz w:val="16"/>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RECONCILIATION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p>
      <w:pPr>
        <w:pStyle w:val="TextBody"/>
        <w:bidi w:val="0"/>
        <w:spacing w:before="0" w:after="0"/>
        <w:jc w:val="center"/>
        <w:rPr/>
      </w:pPr>
      <w:r>
        <w:rPr/>
      </w:r>
    </w:p>
    <w:tbl>
      <w:tblPr>
        <w:tblW w:w="9776" w:type="dxa"/>
        <w:jc w:val="left"/>
        <w:tblInd w:w="0" w:type="dxa"/>
        <w:tblLayout w:type="fixed"/>
        <w:tblCellMar>
          <w:top w:w="28" w:type="dxa"/>
          <w:left w:w="28" w:type="dxa"/>
          <w:bottom w:w="28" w:type="dxa"/>
          <w:right w:w="28" w:type="dxa"/>
        </w:tblCellMar>
      </w:tblPr>
      <w:tblGrid>
        <w:gridCol w:w="1641"/>
        <w:gridCol w:w="1441"/>
        <w:gridCol w:w="1447"/>
        <w:gridCol w:w="109"/>
        <w:gridCol w:w="109"/>
        <w:gridCol w:w="109"/>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 xml:space="preserve">Reconciliation of EBITDA and Adjusted EBITDA: </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Strategic transformation initiatives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Loss on disposal of business </w:t>
            </w:r>
            <w:r>
              <w:rPr>
                <w:rFonts w:ascii="Arial;sans-serif" w:hAnsi="Arial;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eOne Film and TV business divestiture related costs </w:t>
            </w:r>
            <w:r>
              <w:rPr>
                <w:rFonts w:ascii="Arial;sans-serif" w:hAnsi="Arial;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Impairment of goodwill </w:t>
            </w:r>
            <w:r>
              <w:rPr>
                <w:rFonts w:ascii="Arial;sans-serif" w:hAnsi="Arial;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Unauthorized network access </w:t>
            </w:r>
            <w:r>
              <w:rPr>
                <w:rFonts w:ascii="Arial;sans-serif" w:hAnsi="Arial;sans-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 xml:space="preserve">(1) </w:t>
      </w:r>
      <w:r>
        <w:rPr>
          <w:rFonts w:ascii="Arial;sans-serif" w:hAnsi="Arial;sans-serif"/>
          <w:b w:val="false"/>
          <w:color w:val="000000"/>
          <w:sz w:val="16"/>
        </w:rPr>
        <w:t>Amounts may not sum due to rounding</w:t>
      </w:r>
    </w:p>
    <w:p>
      <w:pPr>
        <w:pStyle w:val="TextBody"/>
        <w:bidi w:val="0"/>
        <w:spacing w:lineRule="auto" w:line="288" w:before="120" w:after="283"/>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Strategic transformation initiatives costs represent non-recurring expenses for strategic projects with anticipated long-term benefits to support the organization in identifying, realizing and capturing savings to create efficiencies and improve business processes and operations. </w:t>
      </w:r>
    </w:p>
    <w:p>
      <w:pPr>
        <w:pStyle w:val="TextBody"/>
        <w:bidi w:val="0"/>
        <w:spacing w:lineRule="auto" w:line="288" w:before="120" w:after="283"/>
        <w:jc w:val="left"/>
        <w:rPr/>
      </w:pPr>
      <w:r>
        <w:rPr>
          <w:rFonts w:ascii="Arial;sans-serif" w:hAnsi="Arial;sans-serif"/>
          <w:b w:val="false"/>
          <w:color w:val="000000"/>
          <w:sz w:val="10"/>
        </w:rPr>
        <w:t xml:space="preserve">(3) </w:t>
      </w:r>
      <w:r>
        <w:rPr>
          <w:rFonts w:ascii="Arial;sans-serif" w:hAnsi="Arial;sans-serif"/>
          <w:b w:val="false"/>
          <w:color w:val="000000"/>
          <w:sz w:val="16"/>
        </w:rPr>
        <w:t>Restructuring and severance associated with cost-savings initiatives across the Company.</w:t>
      </w:r>
    </w:p>
    <w:p>
      <w:pPr>
        <w:pStyle w:val="TextBody"/>
        <w:bidi w:val="0"/>
        <w:spacing w:lineRule="auto" w:line="288" w:before="120" w:after="283"/>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 xml:space="preserve">Loss on disposal of a business related to the sale of the eOne Film and TV business executed on December 27, 2023. The costs are included in Loss on disposal of business within the Entertainment segment. </w:t>
      </w:r>
    </w:p>
    <w:p>
      <w:pPr>
        <w:pStyle w:val="TextBody"/>
        <w:bidi w:val="0"/>
        <w:spacing w:lineRule="auto" w:line="288" w:before="120" w:after="283"/>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eOne Film and TV business divestiture related costs as a result of the sale of the eOne Film and TV business and certain retained liabilities. </w:t>
      </w:r>
    </w:p>
    <w:p>
      <w:pPr>
        <w:pStyle w:val="TextBody"/>
        <w:bidi w:val="0"/>
        <w:spacing w:lineRule="auto" w:line="288" w:before="120" w:after="283"/>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 xml:space="preserve">During Q2 2025, Hasbro recorded a non-cash goodwill impairment charge of $1,021.9 million in the Consumer Products segment, following completion of an interim quantitative assessment of goodwill triggered by the implementation of tariffs. </w:t>
      </w:r>
    </w:p>
    <w:p>
      <w:pPr>
        <w:pStyle w:val="TextBody"/>
        <w:bidi w:val="0"/>
        <w:spacing w:lineRule="auto" w:line="288" w:before="120" w:after="283"/>
        <w:jc w:val="both"/>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Incremental costs incurred by Hasbro as a result of the identification of unauthorized network access in late March 2026, including third-party legal and remediation costs.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RECONCILIATION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tbl>
      <w:tblPr>
        <w:tblW w:w="10205" w:type="dxa"/>
        <w:jc w:val="left"/>
        <w:tblInd w:w="0" w:type="dxa"/>
        <w:tblLayout w:type="fixed"/>
        <w:tblCellMar>
          <w:top w:w="28" w:type="dxa"/>
          <w:left w:w="28" w:type="dxa"/>
          <w:bottom w:w="28" w:type="dxa"/>
          <w:right w:w="28" w:type="dxa"/>
        </w:tblCellMar>
      </w:tblPr>
      <w:tblGrid>
        <w:gridCol w:w="1511"/>
        <w:gridCol w:w="1329"/>
        <w:gridCol w:w="1332"/>
        <w:gridCol w:w="109"/>
        <w:gridCol w:w="109"/>
        <w:gridCol w:w="109"/>
        <w:gridCol w:w="109"/>
        <w:gridCol w:w="211"/>
        <w:gridCol w:w="631"/>
        <w:gridCol w:w="109"/>
        <w:gridCol w:w="109"/>
        <w:gridCol w:w="109"/>
        <w:gridCol w:w="109"/>
        <w:gridCol w:w="211"/>
        <w:gridCol w:w="781"/>
        <w:gridCol w:w="109"/>
        <w:gridCol w:w="109"/>
        <w:gridCol w:w="109"/>
        <w:gridCol w:w="109"/>
        <w:gridCol w:w="277"/>
        <w:gridCol w:w="829"/>
        <w:gridCol w:w="142"/>
        <w:gridCol w:w="109"/>
        <w:gridCol w:w="109"/>
        <w:gridCol w:w="109"/>
        <w:gridCol w:w="241"/>
        <w:gridCol w:w="895"/>
        <w:gridCol w:w="180"/>
      </w:tblGrid>
      <w:tr>
        <w:trPr/>
        <w:tc>
          <w:tcPr>
            <w:tcW w:w="151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Reconciliation of Adjusted Operating Profit:</w:t>
            </w:r>
            <w:r>
              <w:rPr>
                <w:color w:val="000000"/>
              </w:rPr>
              <w:t xml:space="preserve">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522.8</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(627.5)</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46.4</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1,097.1</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569.2</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469.6</w:t>
            </w: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Adjustments include the following: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Acquired intangible amortization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Strategic transformation initiatives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Loss on disposal of business </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eOne Film and TV business divestiture related costs </w:t>
            </w:r>
            <w:r>
              <w:rPr>
                <w:rFonts w:ascii="Arial;sans-serif" w:hAnsi="Arial;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Impairment of goodwill </w:t>
            </w:r>
            <w:r>
              <w:rPr>
                <w:rFonts w:ascii="Arial;sans-serif" w:hAnsi="Arial;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Unauthorized network access </w:t>
            </w:r>
            <w:r>
              <w:rPr>
                <w:rFonts w:ascii="Arial;sans-serif" w:hAnsi="Arial;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1,097.1 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0"/>
        </w:rPr>
        <w:t xml:space="preserve">(1) </w:t>
      </w:r>
      <w:r>
        <w:rPr>
          <w:rFonts w:ascii="Arial;sans-serif" w:hAnsi="Arial;sans-serif"/>
          <w:b w:val="false"/>
          <w:color w:val="000000"/>
          <w:sz w:val="16"/>
        </w:rPr>
        <w:t>Amounts may not sum due to rounding</w:t>
      </w:r>
    </w:p>
    <w:p>
      <w:pPr>
        <w:pStyle w:val="TextBody"/>
        <w:bidi w:val="0"/>
        <w:spacing w:lineRule="auto" w:line="288" w:before="120" w:after="283"/>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 </w:t>
      </w:r>
    </w:p>
    <w:p>
      <w:pPr>
        <w:pStyle w:val="TextBody"/>
        <w:bidi w:val="0"/>
        <w:spacing w:lineRule="auto" w:line="288" w:before="120" w:after="283"/>
        <w:jc w:val="both"/>
        <w:rPr/>
      </w:pPr>
      <w:r>
        <w:rPr>
          <w:rFonts w:ascii="Arial;sans-serif" w:hAnsi="Arial;sans-serif"/>
          <w:b w:val="false"/>
          <w:color w:val="000000"/>
          <w:sz w:val="10"/>
        </w:rPr>
        <w:t xml:space="preserve">(3) </w:t>
      </w:r>
      <w:r>
        <w:rPr>
          <w:rFonts w:ascii="Arial;sans-serif" w:hAnsi="Arial;sans-serif"/>
          <w:b w:val="false"/>
          <w:color w:val="000000"/>
          <w:sz w:val="16"/>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pStyle w:val="TextBody"/>
        <w:bidi w:val="0"/>
        <w:spacing w:lineRule="auto" w:line="288" w:before="120" w:after="283"/>
        <w:jc w:val="both"/>
        <w:rPr/>
      </w:pPr>
      <w:r>
        <w:rPr>
          <w:rFonts w:ascii="Arial;sans-serif" w:hAnsi="Arial;sans-serif"/>
          <w:b w:val="false"/>
          <w:color w:val="000000"/>
          <w:sz w:val="10"/>
        </w:rPr>
        <w:t xml:space="preserve">(4) </w:t>
      </w:r>
      <w:r>
        <w:rPr>
          <w:rFonts w:ascii="Arial;sans-serif" w:hAnsi="Arial;sans-serif"/>
          <w:b w:val="false"/>
          <w:color w:val="000000"/>
          <w:sz w:val="16"/>
        </w:rPr>
        <w:t>Restructuring and severance costs associated with cost-savings initiatives across the Company.</w:t>
      </w:r>
    </w:p>
    <w:p>
      <w:pPr>
        <w:pStyle w:val="TextBody"/>
        <w:bidi w:val="0"/>
        <w:spacing w:lineRule="auto" w:line="288" w:before="120" w:after="283"/>
        <w:jc w:val="both"/>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Loss on disposal of a business related to the sale of the eOne Film and TV business executed on December 27, 2023. The costs are included in Loss on disposal of business within the Entertainment segment. </w:t>
      </w:r>
    </w:p>
    <w:p>
      <w:pPr>
        <w:pStyle w:val="TextBody"/>
        <w:bidi w:val="0"/>
        <w:spacing w:lineRule="auto" w:line="288" w:before="120" w:after="283"/>
        <w:jc w:val="both"/>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 xml:space="preserve">eOne Film and TV business divestiture related costs as a result of the sale of the eOne Film and TV business and certain retained liabilities. </w:t>
      </w:r>
    </w:p>
    <w:p>
      <w:pPr>
        <w:pStyle w:val="TextBody"/>
        <w:bidi w:val="0"/>
        <w:spacing w:lineRule="auto" w:line="288" w:before="120" w:after="283"/>
        <w:jc w:val="both"/>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 xml:space="preserve">During Q2 2025, Hasbro recorded a non-cash goodwill impairment charge of $1,021.9 million in the Consumer Products segment, following completion of an interim quantitative assessment of goodwill triggered by the implementation of tariffs. </w:t>
      </w:r>
    </w:p>
    <w:p>
      <w:pPr>
        <w:pStyle w:val="TextBody"/>
        <w:bidi w:val="0"/>
        <w:spacing w:lineRule="auto" w:line="288" w:before="120" w:after="283"/>
        <w:jc w:val="both"/>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 xml:space="preserve">Incremental costs incurred by Hasbro as a result of the identification of unauthorized network access in late March 2026, including third-party legal and remediation costs.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RECONCILIATION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 and Shares,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34"/>
        <w:gridCol w:w="937"/>
        <w:gridCol w:w="944"/>
        <w:gridCol w:w="263"/>
        <w:gridCol w:w="771"/>
        <w:gridCol w:w="135"/>
        <w:gridCol w:w="115"/>
        <w:gridCol w:w="115"/>
        <w:gridCol w:w="115"/>
        <w:gridCol w:w="462"/>
        <w:gridCol w:w="1124"/>
        <w:gridCol w:w="238"/>
        <w:gridCol w:w="115"/>
        <w:gridCol w:w="115"/>
        <w:gridCol w:w="115"/>
        <w:gridCol w:w="248"/>
        <w:gridCol w:w="798"/>
        <w:gridCol w:w="128"/>
        <w:gridCol w:w="115"/>
        <w:gridCol w:w="115"/>
        <w:gridCol w:w="115"/>
        <w:gridCol w:w="420"/>
        <w:gridCol w:w="1148"/>
        <w:gridCol w:w="320"/>
      </w:tblGrid>
      <w:tr>
        <w:trPr/>
        <w:tc>
          <w:tcPr>
            <w:tcW w:w="12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Reconciliation of Net Earnings and Earnings per Share:</w:t>
            </w:r>
            <w:r>
              <w:rPr>
                <w:color w:val="000000"/>
              </w:rPr>
              <w:t xml:space="preserve"> </w:t>
            </w:r>
            <w:r>
              <w:rPr>
                <w:rFonts w:ascii="Arial;sans-serif" w:hAnsi="Arial;sans-serif"/>
                <w:b/>
                <w:color w:val="000000"/>
                <w:sz w:val="13"/>
              </w:rPr>
              <w:t>(1)</w:t>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Acquired intangible amortization</w:t>
            </w:r>
            <w:r>
              <w:rPr>
                <w:color w:val="000000"/>
              </w:rPr>
              <w:t xml:space="preserve"> </w:t>
            </w:r>
            <w:r>
              <w:rPr>
                <w:rFonts w:ascii="Arial;sans-serif" w:hAnsi="Arial;sans-serif"/>
                <w:b w:val="false"/>
                <w:color w:val="000000"/>
                <w:sz w:val="12"/>
              </w:rPr>
              <w:t>(2)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Strategic transformation initiatives</w:t>
            </w:r>
            <w:r>
              <w:rPr>
                <w:color w:val="000000"/>
              </w:rPr>
              <w:t xml:space="preserve"> </w:t>
            </w:r>
            <w:r>
              <w:rPr>
                <w:rFonts w:ascii="Arial;sans-serif" w:hAnsi="Arial;sans-serif"/>
                <w:b w:val="false"/>
                <w:color w:val="000000"/>
                <w:sz w:val="12"/>
              </w:rPr>
              <w:t>(3)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(4)</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eOne Film and TV divestiture related costs </w:t>
            </w:r>
            <w:r>
              <w:rPr>
                <w:rFonts w:ascii="Arial;sans-serif" w:hAnsi="Arial;sans-serif"/>
                <w:b w:val="false"/>
                <w:color w:val="000000"/>
                <w:sz w:val="12"/>
              </w:rPr>
              <w:t>(6)</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Impairment of goodwill </w:t>
            </w:r>
            <w:r>
              <w:rPr>
                <w:rFonts w:ascii="Arial;sans-serif" w:hAnsi="Arial;sans-serif"/>
                <w:b w:val="false"/>
                <w:color w:val="000000"/>
                <w:sz w:val="12"/>
              </w:rPr>
              <w:t>(7)</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Unauthorized network access </w:t>
            </w:r>
            <w:r>
              <w:rPr>
                <w:rFonts w:ascii="Arial;sans-serif" w:hAnsi="Arial;sans-serif"/>
                <w:b w:val="false"/>
                <w:color w:val="000000"/>
                <w:sz w:val="12"/>
              </w:rPr>
              <w:t>(8)</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as Adjusted</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34"/>
        <w:gridCol w:w="937"/>
        <w:gridCol w:w="944"/>
        <w:gridCol w:w="263"/>
        <w:gridCol w:w="771"/>
        <w:gridCol w:w="135"/>
        <w:gridCol w:w="115"/>
        <w:gridCol w:w="115"/>
        <w:gridCol w:w="115"/>
        <w:gridCol w:w="462"/>
        <w:gridCol w:w="1124"/>
        <w:gridCol w:w="238"/>
        <w:gridCol w:w="115"/>
        <w:gridCol w:w="115"/>
        <w:gridCol w:w="115"/>
        <w:gridCol w:w="248"/>
        <w:gridCol w:w="798"/>
        <w:gridCol w:w="128"/>
        <w:gridCol w:w="115"/>
        <w:gridCol w:w="115"/>
        <w:gridCol w:w="115"/>
        <w:gridCol w:w="420"/>
        <w:gridCol w:w="1148"/>
        <w:gridCol w:w="320"/>
      </w:tblGrid>
      <w:tr>
        <w:trPr/>
        <w:tc>
          <w:tcPr>
            <w:tcW w:w="12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Reconciliation of Net Earnings and Earnings per Share:</w:t>
            </w:r>
            <w:r>
              <w:rPr>
                <w:color w:val="000000"/>
              </w:rPr>
              <w:t xml:space="preserve"> </w:t>
            </w:r>
            <w:r>
              <w:rPr>
                <w:rFonts w:ascii="Arial;sans-serif" w:hAnsi="Arial;sans-serif"/>
                <w:b/>
                <w:color w:val="000000"/>
                <w:sz w:val="13"/>
              </w:rPr>
              <w:t>(1)</w:t>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Acquired intangible amortization</w:t>
            </w:r>
            <w:r>
              <w:rPr>
                <w:color w:val="000000"/>
              </w:rPr>
              <w:t xml:space="preserve"> </w:t>
            </w:r>
            <w:r>
              <w:rPr>
                <w:rFonts w:ascii="Arial;sans-serif" w:hAnsi="Arial;sans-serif"/>
                <w:b w:val="false"/>
                <w:color w:val="000000"/>
                <w:sz w:val="12"/>
              </w:rPr>
              <w:t>(2)</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Strategic transformation initiatives</w:t>
            </w:r>
            <w:r>
              <w:rPr>
                <w:color w:val="000000"/>
              </w:rPr>
              <w:t xml:space="preserve"> </w:t>
            </w:r>
            <w:r>
              <w:rPr>
                <w:rFonts w:ascii="Arial;sans-serif" w:hAnsi="Arial;sans-serif"/>
                <w:b w:val="false"/>
                <w:color w:val="000000"/>
                <w:sz w:val="12"/>
              </w:rPr>
              <w:t>(3)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(4)</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Loss on disposal of business </w:t>
            </w:r>
            <w:r>
              <w:rPr>
                <w:rFonts w:ascii="Arial;sans-serif" w:hAnsi="Arial;sans-serif"/>
                <w:b w:val="false"/>
                <w:color w:val="000000"/>
                <w:sz w:val="12"/>
              </w:rPr>
              <w:t>(5)</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eOne Film and TV divestiture related costs </w:t>
            </w:r>
            <w:r>
              <w:rPr>
                <w:rFonts w:ascii="Arial;sans-serif" w:hAnsi="Arial;sans-serif"/>
                <w:b w:val="false"/>
                <w:color w:val="000000"/>
                <w:sz w:val="12"/>
              </w:rPr>
              <w:t>(6)</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Impairment of goodwill </w:t>
            </w:r>
            <w:r>
              <w:rPr>
                <w:rFonts w:ascii="Arial;sans-serif" w:hAnsi="Arial;sans-serif"/>
                <w:b w:val="false"/>
                <w:color w:val="000000"/>
                <w:sz w:val="12"/>
              </w:rPr>
              <w:t>(7)</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Unauthorized network access </w:t>
            </w:r>
            <w:r>
              <w:rPr>
                <w:rFonts w:ascii="Arial;sans-serif" w:hAnsi="Arial;sans-serif"/>
                <w:b w:val="false"/>
                <w:color w:val="000000"/>
                <w:sz w:val="12"/>
              </w:rPr>
              <w:t>(8)</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as Adjusted</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394.5 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0"/>
        </w:rPr>
        <w:t xml:space="preserve">(1) </w:t>
      </w:r>
      <w:r>
        <w:rPr>
          <w:rFonts w:ascii="Arial;sans-serif" w:hAnsi="Arial;sans-serif"/>
          <w:b w:val="false"/>
          <w:color w:val="000000"/>
          <w:sz w:val="16"/>
        </w:rPr>
        <w:t>Amounts may not sum due to rounding</w:t>
      </w:r>
    </w:p>
    <w:p>
      <w:pPr>
        <w:pStyle w:val="TextBody"/>
        <w:bidi w:val="0"/>
        <w:spacing w:lineRule="auto" w:line="288" w:before="120" w:after="283"/>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 </w:t>
      </w:r>
    </w:p>
    <w:p>
      <w:pPr>
        <w:pStyle w:val="TextBody"/>
        <w:bidi w:val="0"/>
        <w:spacing w:lineRule="auto" w:line="288" w:before="120" w:after="283"/>
        <w:jc w:val="left"/>
        <w:rPr/>
      </w:pPr>
      <w:r>
        <w:rPr>
          <w:rFonts w:ascii="Arial;sans-serif" w:hAnsi="Arial;sans-serif"/>
          <w:b w:val="false"/>
          <w:color w:val="000000"/>
          <w:sz w:val="10"/>
        </w:rPr>
        <w:t xml:space="preserve">(3) </w:t>
      </w:r>
      <w:r>
        <w:rPr>
          <w:rFonts w:ascii="Arial;sans-serif" w:hAnsi="Arial;sans-serif"/>
          <w:b w:val="false"/>
          <w:color w:val="000000"/>
          <w:sz w:val="16"/>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 These costs primarily consist of third party consulting of $0.8 ($0.7 after-tax) and $1.9 ($1.5 after-tax) for the three and six months ended June 28, 2026, respectively, and $3.9 ($3.0 after-tax) and $11.1 ($8.5 after-tax) for the three months and six months ended June 29, 2025, respectively.</w:t>
      </w:r>
    </w:p>
    <w:p>
      <w:pPr>
        <w:pStyle w:val="TextBody"/>
        <w:bidi w:val="0"/>
        <w:spacing w:lineRule="auto" w:line="288" w:before="120" w:after="283"/>
        <w:jc w:val="left"/>
        <w:rPr/>
      </w:pPr>
      <w:r>
        <w:rPr>
          <w:rFonts w:ascii="Arial;sans-serif" w:hAnsi="Arial;sans-serif"/>
          <w:b w:val="false"/>
          <w:color w:val="000000"/>
          <w:sz w:val="10"/>
        </w:rPr>
        <w:t xml:space="preserve">(4) </w:t>
      </w:r>
      <w:r>
        <w:rPr>
          <w:rFonts w:ascii="Arial;sans-serif" w:hAnsi="Arial;sans-serif"/>
          <w:b w:val="false"/>
          <w:color w:val="000000"/>
          <w:sz w:val="16"/>
        </w:rPr>
        <w:t>Restructuring and severance costs of $8.1 ($6.1 after-tax) and $13.7 ($10.4 after-tax) for the three months and six months ended June 28, 2026, respectively, and $6.8 ($5.3 after-tax) and $12.7 ($9.8 after-tax) for the three months and six months ended June 29, 2025, respectively, associated with cost-savings initiatives across the Company.</w:t>
      </w:r>
    </w:p>
    <w:p>
      <w:pPr>
        <w:pStyle w:val="TextBody"/>
        <w:bidi w:val="0"/>
        <w:spacing w:lineRule="auto" w:line="288" w:before="120" w:after="283"/>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Loss on disposal of a business of $25.0 ($25.0 after-tax) for the three months and six months ended June 29, 2025, respectively, related to the sale of the eOne Film and TV business executed on December 27, 2023. The costs are included in Loss on Disposal of Business within the Entertainment segment. </w:t>
      </w:r>
    </w:p>
    <w:p>
      <w:pPr>
        <w:pStyle w:val="TextBody"/>
        <w:bidi w:val="0"/>
        <w:spacing w:lineRule="auto" w:line="288" w:before="120" w:after="283"/>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 xml:space="preserve">eOne Film and TV business divestiture related costs of $0.1 ($0.1 after-tax) and $5.4 ($4.2 after-tax) for the three months and six months ended June 29, 2025, respectively, as a result of the sale of the eOne Film and TV business and certain retained liabilities. </w:t>
      </w:r>
    </w:p>
    <w:p>
      <w:pPr>
        <w:pStyle w:val="TextBody"/>
        <w:bidi w:val="0"/>
        <w:spacing w:lineRule="auto" w:line="288" w:before="120" w:after="283"/>
        <w:jc w:val="both"/>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 xml:space="preserve">During Q2 2025, Hasbro recorded a non-cash goodwill impairment charge of $1,021.9 million in the Consumer Products segment, following completion of an interim quantitative assessment of goodwill triggered by the implementation of tariffs. </w:t>
      </w:r>
    </w:p>
    <w:p>
      <w:pPr>
        <w:pStyle w:val="TextBody"/>
        <w:bidi w:val="0"/>
        <w:spacing w:lineRule="auto" w:line="288" w:before="120" w:after="283"/>
        <w:jc w:val="both"/>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 xml:space="preserve">Incremental costs incurred by Hasbro as a result of the identification of unauthorized network access in late March 2026, including third-party legal and remediation costs. These costs total $10.8 ($8.3 after-tax) for the three months and six months ended June 28, 2026, respectively. </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6422</Words>
  <Characters>35094</Characters>
  <CharactersWithSpaces>40724</CharactersWithSpaces>
  <Paragraphs>1650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