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1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SCHEDULE 14D-1</w:t>
      </w:r>
    </w:p>
    <w:p>
      <w:pPr>
        <w:ind w:left="3060"/>
        <w:spacing w:after="0" w:line="238" w:lineRule="auto"/>
        <w:rPr>
          <w:sz w:val="20"/>
          <w:szCs w:val="20"/>
          <w:color w:val="auto"/>
        </w:rPr>
      </w:pPr>
      <w:r>
        <w:rPr>
          <w:rFonts w:ascii="Courier New" w:cs="Courier New" w:eastAsia="Courier New" w:hAnsi="Courier New"/>
          <w:sz w:val="18"/>
          <w:szCs w:val="18"/>
          <w:color w:val="auto"/>
        </w:rPr>
        <w:t>(AMENDMENT NO. 1)</w:t>
      </w:r>
    </w:p>
    <w:p>
      <w:pPr>
        <w:ind w:left="2860"/>
        <w:spacing w:after="0"/>
        <w:rPr>
          <w:sz w:val="20"/>
          <w:szCs w:val="20"/>
          <w:color w:val="auto"/>
        </w:rPr>
      </w:pPr>
      <w:r>
        <w:rPr>
          <w:rFonts w:ascii="Courier New" w:cs="Courier New" w:eastAsia="Courier New" w:hAnsi="Courier New"/>
          <w:sz w:val="18"/>
          <w:szCs w:val="18"/>
          <w:color w:val="auto"/>
        </w:rPr>
        <w:t>TENDER OFFER STATEMENT</w:t>
      </w:r>
    </w:p>
    <w:p>
      <w:pPr>
        <w:ind w:left="2540"/>
        <w:spacing w:after="0" w:line="237" w:lineRule="auto"/>
        <w:rPr>
          <w:sz w:val="20"/>
          <w:szCs w:val="20"/>
          <w:color w:val="auto"/>
        </w:rPr>
      </w:pPr>
      <w:r>
        <w:rPr>
          <w:rFonts w:ascii="Courier New" w:cs="Courier New" w:eastAsia="Courier New" w:hAnsi="Courier New"/>
          <w:sz w:val="18"/>
          <w:szCs w:val="18"/>
          <w:color w:val="auto"/>
        </w:rPr>
        <w:t>PURSUANT TO SECTION 14(D)(1)</w:t>
      </w:r>
    </w:p>
    <w:p>
      <w:pPr>
        <w:ind w:left="200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MICROPROSE, INC.</w:t>
      </w:r>
    </w:p>
    <w:p>
      <w:pPr>
        <w:ind w:left="2640"/>
        <w:spacing w:after="0" w:line="238" w:lineRule="auto"/>
        <w:rPr>
          <w:sz w:val="20"/>
          <w:szCs w:val="20"/>
          <w:color w:val="auto"/>
        </w:rPr>
      </w:pPr>
      <w:r>
        <w:rPr>
          <w:rFonts w:ascii="Courier New" w:cs="Courier New" w:eastAsia="Courier New" w:hAnsi="Courier New"/>
          <w:sz w:val="18"/>
          <w:szCs w:val="18"/>
          <w:color w:val="auto"/>
        </w:rPr>
        <w:t>(NAME OF SUBJECT COMPANY)</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NEW HIAC CORP.</w:t>
      </w:r>
    </w:p>
    <w:p>
      <w:pPr>
        <w:ind w:left="3380"/>
        <w:spacing w:after="0" w:line="238" w:lineRule="auto"/>
        <w:rPr>
          <w:sz w:val="20"/>
          <w:szCs w:val="20"/>
          <w:color w:val="auto"/>
        </w:rPr>
      </w:pPr>
      <w:r>
        <w:rPr>
          <w:rFonts w:ascii="Courier New" w:cs="Courier New" w:eastAsia="Courier New" w:hAnsi="Courier New"/>
          <w:sz w:val="18"/>
          <w:szCs w:val="18"/>
          <w:color w:val="auto"/>
        </w:rPr>
        <w:t>HASBRO, INC.</w:t>
      </w:r>
    </w:p>
    <w:p>
      <w:pPr>
        <w:ind w:left="3480"/>
        <w:spacing w:after="0"/>
        <w:rPr>
          <w:sz w:val="20"/>
          <w:szCs w:val="20"/>
          <w:color w:val="auto"/>
        </w:rPr>
      </w:pPr>
      <w:r>
        <w:rPr>
          <w:rFonts w:ascii="Courier New" w:cs="Courier New" w:eastAsia="Courier New" w:hAnsi="Courier New"/>
          <w:sz w:val="18"/>
          <w:szCs w:val="18"/>
          <w:color w:val="auto"/>
        </w:rPr>
        <w:t>(BIDDERS)</w:t>
      </w:r>
    </w:p>
    <w:p>
      <w:pPr>
        <w:spacing w:after="0" w:line="200" w:lineRule="exact"/>
        <w:rPr>
          <w:sz w:val="24"/>
          <w:szCs w:val="24"/>
          <w:color w:val="auto"/>
        </w:rPr>
      </w:pPr>
    </w:p>
    <w:p>
      <w:pPr>
        <w:spacing w:after="0" w:line="203"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COMMON STOCK, PAR VALUE $.001 PER SHARE</w:t>
      </w:r>
    </w:p>
    <w:p>
      <w:pPr>
        <w:ind w:left="24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59513V 20 6</w:t>
      </w:r>
    </w:p>
    <w:p>
      <w:pPr>
        <w:jc w:val="center"/>
        <w:ind w:right="231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PHILLIP H. WALDOKS, ESQ.</w:t>
      </w:r>
    </w:p>
    <w:p>
      <w:pPr>
        <w:ind w:left="860"/>
        <w:spacing w:after="0" w:line="238" w:lineRule="auto"/>
        <w:rPr>
          <w:sz w:val="20"/>
          <w:szCs w:val="20"/>
          <w:color w:val="auto"/>
        </w:rPr>
      </w:pPr>
      <w:r>
        <w:rPr>
          <w:rFonts w:ascii="Courier New" w:cs="Courier New" w:eastAsia="Courier New" w:hAnsi="Courier New"/>
          <w:sz w:val="18"/>
          <w:szCs w:val="18"/>
          <w:color w:val="auto"/>
        </w:rPr>
        <w:t>SENIOR VICE PRESIDENT-CORPORATE LEGAL AFFAIRS AND SECRETARY</w:t>
      </w:r>
    </w:p>
    <w:p>
      <w:pPr>
        <w:ind w:left="3380"/>
        <w:spacing w:after="0"/>
        <w:rPr>
          <w:sz w:val="20"/>
          <w:szCs w:val="20"/>
          <w:color w:val="auto"/>
        </w:rPr>
      </w:pPr>
      <w:r>
        <w:rPr>
          <w:rFonts w:ascii="Courier New" w:cs="Courier New" w:eastAsia="Courier New" w:hAnsi="Courier New"/>
          <w:sz w:val="18"/>
          <w:szCs w:val="18"/>
          <w:color w:val="auto"/>
        </w:rPr>
        <w:t>HASBRO, INC.</w:t>
      </w:r>
    </w:p>
    <w:p>
      <w:pPr>
        <w:ind w:left="3060"/>
        <w:spacing w:after="0" w:line="237" w:lineRule="auto"/>
        <w:rPr>
          <w:sz w:val="20"/>
          <w:szCs w:val="20"/>
          <w:color w:val="auto"/>
        </w:rPr>
      </w:pPr>
      <w:r>
        <w:rPr>
          <w:rFonts w:ascii="Courier New" w:cs="Courier New" w:eastAsia="Courier New" w:hAnsi="Courier New"/>
          <w:sz w:val="18"/>
          <w:szCs w:val="18"/>
          <w:color w:val="auto"/>
        </w:rPr>
        <w:t>32 W. 23RD STREET</w:t>
      </w:r>
    </w:p>
    <w:p>
      <w:pPr>
        <w:ind w:left="3060"/>
        <w:spacing w:after="0" w:line="238" w:lineRule="auto"/>
        <w:rPr>
          <w:sz w:val="20"/>
          <w:szCs w:val="20"/>
          <w:color w:val="auto"/>
        </w:rPr>
      </w:pPr>
      <w:r>
        <w:rPr>
          <w:rFonts w:ascii="Courier New" w:cs="Courier New" w:eastAsia="Courier New" w:hAnsi="Courier New"/>
          <w:sz w:val="18"/>
          <w:szCs w:val="18"/>
          <w:color w:val="auto"/>
        </w:rPr>
        <w:t>NEW YORK, NY 10010</w:t>
      </w:r>
    </w:p>
    <w:p>
      <w:pPr>
        <w:ind w:left="2640"/>
        <w:spacing w:after="0"/>
        <w:rPr>
          <w:sz w:val="20"/>
          <w:szCs w:val="20"/>
          <w:color w:val="auto"/>
        </w:rPr>
      </w:pPr>
      <w:r>
        <w:rPr>
          <w:rFonts w:ascii="Courier New" w:cs="Courier New" w:eastAsia="Courier New" w:hAnsi="Courier New"/>
          <w:sz w:val="18"/>
          <w:szCs w:val="18"/>
          <w:color w:val="auto"/>
        </w:rPr>
        <w:t>TELEPHONE: (212) 645-2400</w:t>
      </w:r>
    </w:p>
    <w:p>
      <w:pPr>
        <w:ind w:left="2640"/>
        <w:spacing w:after="0" w:line="237" w:lineRule="auto"/>
        <w:rPr>
          <w:sz w:val="20"/>
          <w:szCs w:val="20"/>
          <w:color w:val="auto"/>
        </w:rPr>
      </w:pPr>
      <w:r>
        <w:rPr>
          <w:rFonts w:ascii="Courier New" w:cs="Courier New" w:eastAsia="Courier New" w:hAnsi="Courier New"/>
          <w:sz w:val="18"/>
          <w:szCs w:val="18"/>
          <w:color w:val="auto"/>
        </w:rPr>
        <w:t>FACSIMILE: (212) 741-0663</w:t>
      </w:r>
    </w:p>
    <w:p>
      <w:pPr>
        <w:spacing w:after="0" w:line="5" w:lineRule="exact"/>
        <w:rPr>
          <w:sz w:val="24"/>
          <w:szCs w:val="24"/>
          <w:color w:val="auto"/>
        </w:rPr>
      </w:pPr>
    </w:p>
    <w:p>
      <w:pPr>
        <w:ind w:left="1060" w:right="3159" w:hanging="210"/>
        <w:spacing w:after="0" w:line="290" w:lineRule="auto"/>
        <w:rPr>
          <w:sz w:val="20"/>
          <w:szCs w:val="20"/>
          <w:color w:val="auto"/>
        </w:rPr>
      </w:pPr>
      <w:r>
        <w:rPr>
          <w:rFonts w:ascii="Courier New" w:cs="Courier New" w:eastAsia="Courier New" w:hAnsi="Courier New"/>
          <w:sz w:val="16"/>
          <w:szCs w:val="16"/>
          <w:color w:val="auto"/>
        </w:rPr>
        <w:t>(NAME, ADDRESS AND TELEPHONE NUMBER OF PERSON AUTHORIZED TO RECEIVE NOTICES AND COMMUNICATIONS ON BEHALF OF BIDDERS)</w:t>
      </w:r>
    </w:p>
    <w:p>
      <w:pPr>
        <w:spacing w:after="0" w:line="367"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HOWARD L. ELLIN, ESQ.</w:t>
      </w:r>
    </w:p>
    <w:p>
      <w:pPr>
        <w:ind w:left="1900"/>
        <w:spacing w:after="0" w:line="238" w:lineRule="auto"/>
        <w:rPr>
          <w:sz w:val="20"/>
          <w:szCs w:val="20"/>
          <w:color w:val="auto"/>
        </w:rPr>
      </w:pPr>
      <w:r>
        <w:rPr>
          <w:rFonts w:ascii="Courier New" w:cs="Courier New" w:eastAsia="Courier New" w:hAnsi="Courier New"/>
          <w:sz w:val="18"/>
          <w:szCs w:val="18"/>
          <w:color w:val="auto"/>
        </w:rPr>
        <w:t>SKADDEN, ARPS, SLATE, MEAGHER &amp; FLOM LLP</w:t>
      </w:r>
    </w:p>
    <w:p>
      <w:pPr>
        <w:ind w:left="3160"/>
        <w:spacing w:after="0"/>
        <w:rPr>
          <w:sz w:val="20"/>
          <w:szCs w:val="20"/>
          <w:color w:val="auto"/>
        </w:rPr>
      </w:pPr>
      <w:r>
        <w:rPr>
          <w:rFonts w:ascii="Courier New" w:cs="Courier New" w:eastAsia="Courier New" w:hAnsi="Courier New"/>
          <w:sz w:val="18"/>
          <w:szCs w:val="18"/>
          <w:color w:val="auto"/>
        </w:rPr>
        <w:t>919 THIRD AVENUE</w:t>
      </w:r>
    </w:p>
    <w:p>
      <w:pPr>
        <w:ind w:left="3060"/>
        <w:spacing w:after="0" w:line="237" w:lineRule="auto"/>
        <w:rPr>
          <w:sz w:val="20"/>
          <w:szCs w:val="20"/>
          <w:color w:val="auto"/>
        </w:rPr>
      </w:pPr>
      <w:r>
        <w:rPr>
          <w:rFonts w:ascii="Courier New" w:cs="Courier New" w:eastAsia="Courier New" w:hAnsi="Courier New"/>
          <w:sz w:val="18"/>
          <w:szCs w:val="18"/>
          <w:color w:val="auto"/>
        </w:rPr>
        <w:t>NEW YORK, NY 10022</w:t>
      </w:r>
    </w:p>
    <w:p>
      <w:pPr>
        <w:ind w:left="2640"/>
        <w:spacing w:after="0" w:line="238" w:lineRule="auto"/>
        <w:rPr>
          <w:sz w:val="20"/>
          <w:szCs w:val="20"/>
          <w:color w:val="auto"/>
        </w:rPr>
      </w:pPr>
      <w:r>
        <w:rPr>
          <w:rFonts w:ascii="Courier New" w:cs="Courier New" w:eastAsia="Courier New" w:hAnsi="Courier New"/>
          <w:sz w:val="18"/>
          <w:szCs w:val="18"/>
          <w:color w:val="auto"/>
        </w:rPr>
        <w:t>TELEPHONE: (212) 735-3000</w:t>
      </w:r>
    </w:p>
    <w:p>
      <w:pPr>
        <w:ind w:left="2640"/>
        <w:spacing w:after="0"/>
        <w:rPr>
          <w:sz w:val="20"/>
          <w:szCs w:val="20"/>
          <w:color w:val="auto"/>
        </w:rPr>
      </w:pPr>
      <w:r>
        <w:rPr>
          <w:rFonts w:ascii="Courier New" w:cs="Courier New" w:eastAsia="Courier New" w:hAnsi="Courier New"/>
          <w:sz w:val="18"/>
          <w:szCs w:val="18"/>
          <w:color w:val="auto"/>
        </w:rPr>
        <w:t>FACSIMILE: (212) 735-2000</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CALCULATION OF FILING FEE</w:t>
      </w:r>
    </w:p>
    <w:p>
      <w:pPr>
        <w:ind w:left="2220"/>
        <w:spacing w:after="0" w:line="238" w:lineRule="auto"/>
        <w:rPr>
          <w:sz w:val="20"/>
          <w:szCs w:val="20"/>
          <w:color w:val="auto"/>
        </w:rPr>
      </w:pPr>
      <w:r>
        <w:rPr>
          <w:rFonts w:ascii="Courier New" w:cs="Courier New" w:eastAsia="Courier New" w:hAnsi="Courier New"/>
          <w:sz w:val="18"/>
          <w:szCs w:val="18"/>
          <w:color w:val="auto"/>
        </w:rPr>
        <w:t>TRANSACTION VALUATION* $34,694,418</w:t>
      </w:r>
    </w:p>
    <w:p>
      <w:pPr>
        <w:ind w:left="2540"/>
        <w:spacing w:after="0"/>
        <w:rPr>
          <w:sz w:val="20"/>
          <w:szCs w:val="20"/>
          <w:color w:val="auto"/>
        </w:rPr>
      </w:pPr>
      <w:r>
        <w:rPr>
          <w:rFonts w:ascii="Courier New" w:cs="Courier New" w:eastAsia="Courier New" w:hAnsi="Courier New"/>
          <w:sz w:val="18"/>
          <w:szCs w:val="18"/>
          <w:color w:val="auto"/>
        </w:rPr>
        <w:t>AMOUNT OF FILING FEE $6,939</w:t>
      </w:r>
    </w:p>
    <w:p>
      <w:pPr>
        <w:spacing w:after="0" w:line="200"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640" w:right="2319" w:hanging="4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Estimated for purposes of calculating the amount of the filing fee only. This amount assumes the purchase of 5,782,403 shares of common stock, $.001 par value (the "Shares"), of MicroProse, Inc. at a price of $6.00 per Share in cash. Such number of Shares represents the 5,753,598 Shares outstanding as of August 11, 1998 and assumes the issuance prior to the consummation of the Offer of 28,805 Shares upon the exercise of outstanding options and warrants and the conversion of securities convertible into Shares that have an exercise price of less than $6.00. The amount of the filing fee calculated in accordance with Regulation 240.0-11 of the Securities Exchange Act of 1934, as amended, equals 1/50th of one percent of the value of the transaction.</w:t>
      </w:r>
    </w:p>
    <w:p>
      <w:pPr>
        <w:spacing w:after="0" w:line="207" w:lineRule="exact"/>
        <w:rPr>
          <w:sz w:val="24"/>
          <w:szCs w:val="24"/>
          <w:color w:val="auto"/>
        </w:rPr>
      </w:pPr>
    </w:p>
    <w:p>
      <w:pPr>
        <w:ind w:left="640" w:right="2319" w:hanging="632"/>
        <w:spacing w:after="0" w:line="275" w:lineRule="auto"/>
        <w:tabs>
          <w:tab w:leader="none" w:pos="6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any part of the fee is offset as provided by Rule 0-11 (a)(2) and identify the filing with which the offsetting fee was previously paid. Identify the previous filing by registration statement number, or the Form or Schedule and the date of its filing.</w:t>
      </w:r>
    </w:p>
    <w:p>
      <w:pPr>
        <w:spacing w:after="0" w:line="176"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Amount Previously Paid:  $6,939.</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 or Registration No.:  Schedule 14D-1</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Filing Party:  Hasbro, Inc. and New HIAC Corp.</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Filed:  August 14, 1998.</w:t>
      </w:r>
    </w:p>
    <w:p>
      <w:pPr>
        <w:sectPr>
          <w:pgSz w:w="11900" w:h="16855" w:orient="portrait"/>
          <w:cols w:equalWidth="0" w:num="1">
            <w:col w:w="10219"/>
          </w:cols>
          <w:pgMar w:left="240" w:top="649" w:right="1440" w:bottom="0" w:gutter="0" w:footer="0" w:header="0"/>
        </w:sectPr>
      </w:pPr>
    </w:p>
    <w:bookmarkStart w:id="1" w:name="page2"/>
    <w:bookmarkEnd w:id="1"/>
    <w:p>
      <w:pPr>
        <w:ind w:left="3380"/>
        <w:spacing w:after="0"/>
        <w:rPr>
          <w:sz w:val="20"/>
          <w:szCs w:val="20"/>
          <w:color w:val="auto"/>
        </w:rPr>
      </w:pPr>
      <w:r>
        <w:rPr>
          <w:rFonts w:ascii="Courier New" w:cs="Courier New" w:eastAsia="Courier New" w:hAnsi="Courier New"/>
          <w:sz w:val="18"/>
          <w:szCs w:val="18"/>
          <w:color w:val="auto"/>
        </w:rPr>
        <w:t>TENDER OFFER</w:t>
      </w:r>
    </w:p>
    <w:p>
      <w:pPr>
        <w:spacing w:after="0" w:line="207" w:lineRule="exact"/>
        <w:rPr>
          <w:sz w:val="20"/>
          <w:szCs w:val="20"/>
          <w:color w:val="auto"/>
        </w:rPr>
      </w:pPr>
    </w:p>
    <w:p>
      <w:pPr>
        <w:ind w:right="2319" w:firstLine="632"/>
        <w:spacing w:after="0" w:line="269" w:lineRule="auto"/>
        <w:rPr>
          <w:sz w:val="20"/>
          <w:szCs w:val="20"/>
          <w:color w:val="auto"/>
        </w:rPr>
      </w:pPr>
      <w:r>
        <w:rPr>
          <w:rFonts w:ascii="Courier New" w:cs="Courier New" w:eastAsia="Courier New" w:hAnsi="Courier New"/>
          <w:sz w:val="16"/>
          <w:szCs w:val="16"/>
          <w:color w:val="auto"/>
        </w:rPr>
        <w:t>This Amendment No. 1 amends and supplements the Tender Offer Statement on Schedule 14D-1 filed on August 14, 1998 (as amended and supplemented the "Statement") relating to the offer by New HIAC Corp., a Delaware corporation ("Purchaser") and a wholly owned subsidiary of Hasbro, Inc., a Rhode Island corporation ("Parent"), to purchase all of the outstanding shares of common stock, par value $.001 per share (the "Common Stock") including the associated preferred stock purchase rights issued pursuant to the Rights Agreement, dated as of February 6, 1996, by and between the Company and Chemical Mellon Shareholder Services L.L.C. (the "Rights" and, together with Common Stock, the "Shares"), of MicroProse, Inc., a Delaware corporation (the "Company"), at $6.00 per Share, net to the seller in cash, without interest, upon the terms and subject to the conditions set forth in the Offer to Purchase dated August 14, 1998 (the "Offer to Purchase"). Unless otherwise indicated, the capitalized terms used herein shall have the meanings specified in the Statement including the Offer to Purchase filed as Exhibit (a)(1) thereto.</w:t>
      </w:r>
    </w:p>
    <w:p>
      <w:pPr>
        <w:spacing w:after="0" w:line="39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ADDITIONAL INFORMATION.</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On August 31, 1998, Parent issued a press release announcing that the waiting period under the Hart-Scott-Rodino Antitrust Improvements Act of 1976 relating to the Offer had expired. The full text of the press release is attached hereto as Exhibit (a)(9).</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MATERIALS TO BE FILED AS EXHIBITS.</w:t>
      </w:r>
    </w:p>
    <w:p>
      <w:pPr>
        <w:spacing w:after="0" w:line="201" w:lineRule="exact"/>
        <w:rPr>
          <w:sz w:val="20"/>
          <w:szCs w:val="20"/>
          <w:color w:val="auto"/>
        </w:rPr>
      </w:pPr>
    </w:p>
    <w:p>
      <w:pPr>
        <w:ind w:left="640"/>
        <w:spacing w:after="0"/>
        <w:tabs>
          <w:tab w:leader="none" w:pos="1460" w:val="left"/>
        </w:tabs>
        <w:rPr>
          <w:sz w:val="20"/>
          <w:szCs w:val="20"/>
          <w:color w:val="auto"/>
        </w:rPr>
      </w:pPr>
      <w:r>
        <w:rPr>
          <w:rFonts w:ascii="Courier New" w:cs="Courier New" w:eastAsia="Courier New" w:hAnsi="Courier New"/>
          <w:sz w:val="18"/>
          <w:szCs w:val="18"/>
          <w:color w:val="auto"/>
        </w:rPr>
        <w:t>(a)(9)</w:t>
      </w:r>
      <w:r>
        <w:rPr>
          <w:sz w:val="20"/>
          <w:szCs w:val="20"/>
          <w:color w:val="auto"/>
        </w:rPr>
        <w:tab/>
      </w:r>
      <w:r>
        <w:rPr>
          <w:rFonts w:ascii="Courier New" w:cs="Courier New" w:eastAsia="Courier New" w:hAnsi="Courier New"/>
          <w:sz w:val="16"/>
          <w:szCs w:val="16"/>
          <w:color w:val="auto"/>
        </w:rPr>
        <w:t>Press Release of Parent dated August 31,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519" w:firstLine="632"/>
        <w:spacing w:after="0" w:line="236" w:lineRule="auto"/>
        <w:rPr>
          <w:sz w:val="20"/>
          <w:szCs w:val="20"/>
          <w:color w:val="auto"/>
        </w:rPr>
      </w:pPr>
      <w:r>
        <w:rPr>
          <w:rFonts w:ascii="Courier New" w:cs="Courier New" w:eastAsia="Courier New" w:hAnsi="Courier New"/>
          <w:sz w:val="18"/>
          <w:szCs w:val="18"/>
          <w:color w:val="auto"/>
        </w:rPr>
        <w:t>After due inquiry and to the best of its knowledge and belief, the undersigned certifies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31, 1998</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NEW HIAC CORP.</w:t>
      </w:r>
    </w:p>
    <w:p>
      <w:pPr>
        <w:spacing w:after="0" w:line="200" w:lineRule="exact"/>
        <w:rPr>
          <w:sz w:val="20"/>
          <w:szCs w:val="20"/>
          <w:color w:val="auto"/>
        </w:rPr>
      </w:pPr>
    </w:p>
    <w:p>
      <w:pPr>
        <w:spacing w:after="0" w:line="20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BY: /s/ Phillip H. Waldoks</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PHILLIP H. WALDOKS</w:t>
      </w:r>
    </w:p>
    <w:p>
      <w:pPr>
        <w:ind w:left="4220"/>
        <w:spacing w:after="0" w:line="237" w:lineRule="auto"/>
        <w:rPr>
          <w:sz w:val="20"/>
          <w:szCs w:val="20"/>
          <w:color w:val="auto"/>
        </w:rPr>
      </w:pPr>
      <w:r>
        <w:rPr>
          <w:rFonts w:ascii="Courier New" w:cs="Courier New" w:eastAsia="Courier New" w:hAnsi="Courier New"/>
          <w:sz w:val="18"/>
          <w:szCs w:val="18"/>
          <w:color w:val="auto"/>
        </w:rPr>
        <w:t>TITLE: Secretary</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HASBRO, INC.</w:t>
      </w:r>
    </w:p>
    <w:p>
      <w:pPr>
        <w:spacing w:after="0" w:line="200" w:lineRule="exact"/>
        <w:rPr>
          <w:sz w:val="20"/>
          <w:szCs w:val="20"/>
          <w:color w:val="auto"/>
        </w:rPr>
      </w:pPr>
    </w:p>
    <w:p>
      <w:pPr>
        <w:spacing w:after="0" w:line="20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BY: /s/ Phillip H. Waldoks</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PHILLIP H. WALDOKS</w:t>
      </w:r>
    </w:p>
    <w:p>
      <w:pPr>
        <w:ind w:left="4220"/>
        <w:spacing w:after="0" w:line="238" w:lineRule="auto"/>
        <w:rPr>
          <w:sz w:val="20"/>
          <w:szCs w:val="20"/>
          <w:color w:val="auto"/>
        </w:rPr>
      </w:pPr>
      <w:r>
        <w:rPr>
          <w:rFonts w:ascii="Courier New" w:cs="Courier New" w:eastAsia="Courier New" w:hAnsi="Courier New"/>
          <w:sz w:val="18"/>
          <w:szCs w:val="18"/>
          <w:color w:val="auto"/>
        </w:rPr>
        <w:t>TITLE: Senior Vice President -</w:t>
      </w:r>
    </w:p>
    <w:p>
      <w:pPr>
        <w:ind w:left="4960"/>
        <w:spacing w:after="0"/>
        <w:rPr>
          <w:sz w:val="20"/>
          <w:szCs w:val="20"/>
          <w:color w:val="auto"/>
        </w:rPr>
      </w:pPr>
      <w:r>
        <w:rPr>
          <w:rFonts w:ascii="Courier New" w:cs="Courier New" w:eastAsia="Courier New" w:hAnsi="Courier New"/>
          <w:sz w:val="18"/>
          <w:szCs w:val="18"/>
          <w:color w:val="auto"/>
        </w:rPr>
        <w:t>Corporate Legal Affairs and</w:t>
      </w:r>
    </w:p>
    <w:p>
      <w:pPr>
        <w:ind w:left="4960"/>
        <w:spacing w:after="0" w:line="237" w:lineRule="auto"/>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INDEX TO EXHIBITS</w:t>
      </w:r>
    </w:p>
    <w:p>
      <w:pPr>
        <w:sectPr>
          <w:pgSz w:w="11900" w:h="16838" w:orient="portrait"/>
          <w:cols w:equalWidth="0" w:num="1">
            <w:col w:w="10219"/>
          </w:cols>
          <w:pgMar w:left="240" w:top="946" w:right="144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SEQUENTIAL</w:t>
      </w:r>
    </w:p>
    <w:p>
      <w:pPr>
        <w:ind w:left="120"/>
        <w:spacing w:after="0" w:line="238" w:lineRule="auto"/>
        <w:rPr>
          <w:sz w:val="20"/>
          <w:szCs w:val="20"/>
          <w:color w:val="auto"/>
        </w:rPr>
      </w:pPr>
      <w:r>
        <w:rPr>
          <w:rFonts w:ascii="Courier New" w:cs="Courier New" w:eastAsia="Courier New" w:hAnsi="Courier New"/>
          <w:sz w:val="18"/>
          <w:szCs w:val="18"/>
          <w:color w:val="auto"/>
        </w:rPr>
        <w:t>PAGE NO.</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020" w:space="720"/>
            <w:col w:w="3479"/>
          </w:cols>
          <w:pgMar w:left="240" w:top="946" w:right="1440" w:bottom="554"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(a)(9)</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of Parent dated August 31, 1998.</w:t>
      </w:r>
    </w:p>
    <w:p>
      <w:pPr>
        <w:sectPr>
          <w:pgSz w:w="11900" w:h="16838" w:orient="portrait"/>
          <w:cols w:equalWidth="0" w:num="2">
            <w:col w:w="640" w:space="640"/>
            <w:col w:w="8939"/>
          </w:cols>
          <w:pgMar w:left="240" w:top="946" w:right="1440" w:bottom="554" w:gutter="0" w:footer="0" w:header="0"/>
          <w:type w:val="continuous"/>
        </w:sectPr>
      </w:pPr>
    </w:p>
    <w:bookmarkStart w:id="2" w:name="page3"/>
    <w:bookmarkEnd w:id="2"/>
    <w:p>
      <w:pPr>
        <w:ind w:left="4740"/>
        <w:spacing w:after="0"/>
        <w:rPr>
          <w:sz w:val="20"/>
          <w:szCs w:val="20"/>
          <w:color w:val="auto"/>
        </w:rPr>
      </w:pPr>
      <w:r>
        <w:rPr>
          <w:rFonts w:ascii="Courier New" w:cs="Courier New" w:eastAsia="Courier New" w:hAnsi="Courier New"/>
          <w:sz w:val="16"/>
          <w:szCs w:val="16"/>
          <w:color w:val="auto"/>
        </w:rPr>
        <w:t>Exhibit (a)(9)</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ectPr>
          <w:pgSz w:w="11900" w:h="16838" w:orient="portrait"/>
          <w:cols w:equalWidth="0" w:num="1">
            <w:col w:w="10099"/>
          </w:cols>
          <w:pgMar w:left="360" w:top="344"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Contact: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Hasbro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Wayne Charness: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401-727-5983</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News Media</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MicroProse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Angela Edwards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510-864-4336</w:t>
      </w:r>
    </w:p>
    <w:p>
      <w:pPr>
        <w:spacing w:after="0" w:line="200" w:lineRule="exact"/>
        <w:rPr>
          <w:sz w:val="20"/>
          <w:szCs w:val="20"/>
          <w:color w:val="auto"/>
        </w:rPr>
      </w:pPr>
    </w:p>
    <w:p>
      <w:pPr>
        <w:sectPr>
          <w:pgSz w:w="11900" w:h="16838" w:orient="portrait"/>
          <w:cols w:equalWidth="0" w:num="4">
            <w:col w:w="840" w:space="200"/>
            <w:col w:w="1580" w:space="220"/>
            <w:col w:w="1800" w:space="720"/>
            <w:col w:w="4739"/>
          </w:cols>
          <w:pgMar w:left="360" w:top="344" w:right="1440" w:bottom="1440" w:gutter="0" w:footer="0" w:header="0"/>
          <w:type w:val="continuous"/>
        </w:sectPr>
      </w:pP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Renita O'Connell:</w:t>
      </w:r>
    </w:p>
    <w:p>
      <w:pPr>
        <w:spacing w:after="0" w:line="16"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401-727-5401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Investor Relations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Virginia Turner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510-864-4431</w:t>
      </w:r>
    </w:p>
    <w:p>
      <w:pPr>
        <w:spacing w:after="0" w:line="200" w:lineRule="exact"/>
        <w:rPr>
          <w:sz w:val="20"/>
          <w:szCs w:val="20"/>
          <w:color w:val="auto"/>
        </w:rPr>
      </w:pPr>
    </w:p>
    <w:p>
      <w:pPr>
        <w:sectPr>
          <w:pgSz w:w="11900" w:h="16838" w:orient="portrait"/>
          <w:cols w:equalWidth="0" w:num="3">
            <w:col w:w="2840" w:space="200"/>
            <w:col w:w="1900" w:space="420"/>
            <w:col w:w="4739"/>
          </w:cols>
          <w:pgMar w:left="360" w:top="344" w:right="1440" w:bottom="1440" w:gutter="0" w:footer="0" w:header="0"/>
          <w:type w:val="continuous"/>
        </w:sectPr>
      </w:pPr>
    </w:p>
    <w:p>
      <w:pPr>
        <w:spacing w:after="0" w:line="1"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HASBRO, INC. ANNOUNCES</w:t>
      </w:r>
    </w:p>
    <w:p>
      <w:pPr>
        <w:ind w:left="2520"/>
        <w:spacing w:after="0" w:line="238" w:lineRule="auto"/>
        <w:rPr>
          <w:sz w:val="20"/>
          <w:szCs w:val="20"/>
          <w:color w:val="auto"/>
        </w:rPr>
      </w:pPr>
      <w:r>
        <w:rPr>
          <w:rFonts w:ascii="Courier New" w:cs="Courier New" w:eastAsia="Courier New" w:hAnsi="Courier New"/>
          <w:sz w:val="18"/>
          <w:szCs w:val="18"/>
          <w:color w:val="auto"/>
        </w:rPr>
        <w:t>EXPIRATION OF HART-SCOTT-RODINO</w:t>
      </w:r>
    </w:p>
    <w:p>
      <w:pPr>
        <w:ind w:left="2840"/>
        <w:spacing w:after="0"/>
        <w:rPr>
          <w:sz w:val="20"/>
          <w:szCs w:val="20"/>
          <w:color w:val="auto"/>
        </w:rPr>
      </w:pPr>
      <w:r>
        <w:rPr>
          <w:rFonts w:ascii="Courier New" w:cs="Courier New" w:eastAsia="Courier New" w:hAnsi="Courier New"/>
          <w:sz w:val="18"/>
          <w:szCs w:val="18"/>
          <w:color w:val="auto"/>
        </w:rPr>
        <w:t>WAITING PERIOD REGARDING</w:t>
      </w:r>
    </w:p>
    <w:p>
      <w:pPr>
        <w:ind w:left="2940"/>
        <w:spacing w:after="0" w:line="237" w:lineRule="auto"/>
        <w:rPr>
          <w:sz w:val="20"/>
          <w:szCs w:val="20"/>
          <w:color w:val="auto"/>
        </w:rPr>
      </w:pPr>
      <w:r>
        <w:rPr>
          <w:rFonts w:ascii="Courier New" w:cs="Courier New" w:eastAsia="Courier New" w:hAnsi="Courier New"/>
          <w:sz w:val="18"/>
          <w:szCs w:val="18"/>
          <w:color w:val="auto"/>
        </w:rPr>
        <w:t>PENDING ACQUISITION OF</w:t>
      </w:r>
    </w:p>
    <w:p>
      <w:pPr>
        <w:ind w:left="3360"/>
        <w:spacing w:after="0" w:line="238" w:lineRule="auto"/>
        <w:rPr>
          <w:sz w:val="20"/>
          <w:szCs w:val="20"/>
          <w:color w:val="auto"/>
        </w:rPr>
      </w:pPr>
      <w:r>
        <w:rPr>
          <w:rFonts w:ascii="Courier New" w:cs="Courier New" w:eastAsia="Courier New" w:hAnsi="Courier New"/>
          <w:sz w:val="18"/>
          <w:szCs w:val="18"/>
          <w:color w:val="auto"/>
        </w:rPr>
        <w:t>MICROPROSE, INC.</w:t>
      </w:r>
    </w:p>
    <w:p>
      <w:pPr>
        <w:spacing w:after="0" w:line="208" w:lineRule="exact"/>
        <w:rPr>
          <w:sz w:val="20"/>
          <w:szCs w:val="20"/>
          <w:color w:val="auto"/>
        </w:rPr>
      </w:pPr>
    </w:p>
    <w:p>
      <w:pPr>
        <w:ind w:right="2419" w:firstLine="1053"/>
        <w:spacing w:after="0" w:line="275" w:lineRule="auto"/>
        <w:rPr>
          <w:sz w:val="20"/>
          <w:szCs w:val="20"/>
          <w:color w:val="auto"/>
        </w:rPr>
      </w:pPr>
      <w:r>
        <w:rPr>
          <w:rFonts w:ascii="Courier New" w:cs="Courier New" w:eastAsia="Courier New" w:hAnsi="Courier New"/>
          <w:sz w:val="16"/>
          <w:szCs w:val="16"/>
          <w:color w:val="auto"/>
        </w:rPr>
        <w:t>Pawtucket, RI. August 31, 1998 -- Hasbro, Inc. (ASE: HAS) announced today that the waiting period under the Hart-Scott-Rodino Antitrust Improvements Act applicable to the pending acquisition of MicroProse, Inc. (NASDAQ: MPRS) expired at 11:59 p.m. on August 29, 1998.</w:t>
      </w:r>
    </w:p>
    <w:p>
      <w:pPr>
        <w:spacing w:after="0" w:line="182"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Hasbro, Inc., its wholly owned subsidiary New HIAC Corp. and MicroProse, Inc. executed a definitive merger agreement on August 11, 1998, pursuant to which New HIAC Corp. commenced, on August 14, 1998, a cash tender offer for all of the outstanding shares of MicroProse, Inc. at a price of $6.00 per share. The offer is conditioned upon, among other things, the tender of at least 50.1% of the shares of MicroProse common stock outstanding on a fully diluted basis. The offer and withdrawal rights are scheduled to expire at 12:00 midnight, New York City time, on Friday, September 11, 1998, unless the offer is extended. Bear, Stearns &amp; Co. Inc. is acting as the Dealer Manager and D.F. King &amp; Co. is acting as the Information Agent in connection with the offer.</w:t>
      </w:r>
    </w:p>
    <w:p>
      <w:pPr>
        <w:spacing w:after="0" w:line="216"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Hasbro, Inc. is a worldwide leader in the design, manufacture and marketing of toys, games, interactive software, puzzles and infant products. Both internationally and in the U.S., its Playskool registered trademark, Kenner registered trademark, Tonka registered trademark, OddzOn registered trademark, Super Soaker registered trademark, Milton Bradley registered trademark, Parker Brothers registered trademark,</w:t>
      </w:r>
    </w:p>
    <w:p>
      <w:pPr>
        <w:spacing w:after="0" w:line="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Tiger trademark, and Hasbro Interactive products, provide children and families with the highest quality and most recognizable toys and games in the world.</w:t>
      </w:r>
    </w:p>
    <w:p>
      <w:pPr>
        <w:spacing w:after="0" w:line="209"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MicroProse, Inc. is a leading developer and publisher of entertainment software for use on CD-ROM-based personal computers (PC's). The Company has four development studios located in Alameda, California; Hunt Valley, Maryland; Chapel Hill, North Carolina; and Chipping Sodbury, England. Products are available nationally and internationally and are sold through major distributors, retailers and mass merchants. Product and company information is available for download from the MicroProse Web site at www.microprose.com.</w:t>
      </w:r>
    </w:p>
    <w:p>
      <w:pPr>
        <w:spacing w:after="0" w:line="212"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This press release is neither an offer to purchase nor a solicitation of an offer to sell securities. The tender offer is made only through the Offer to Purchase and the related Letter of Transmittal which were mailed to stockholders on or about August 14, 1998. Additional copies of such documents can be obtained by contacting the Information Agent at (800) 755-3107.</w:t>
      </w:r>
    </w:p>
    <w:sectPr>
      <w:pgSz w:w="11900" w:h="16838" w:orient="portrait"/>
      <w:cols w:equalWidth="0" w:num="1">
        <w:col w:w="10099"/>
      </w:cols>
      <w:pgMar w:left="360" w:top="3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1]"/>
      <w:numFmt w:val="upperLetter"/>
      <w:start w:val="2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2019-12-16T15:47:06Z</dcterms:created>
  <dcterms:modified xsi:type="dcterms:W3CDTF">2019-12-16T15:47:06Z</dcterms:modified>
</cp:coreProperties>
</file>